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9F93AB" w14:textId="77777777" w:rsidR="00347989" w:rsidRDefault="00347989" w:rsidP="00347989">
      <w:pPr>
        <w:spacing w:line="360" w:lineRule="auto"/>
        <w:jc w:val="center"/>
        <w:rPr>
          <w:rFonts w:ascii="Arial" w:hAnsi="Arial" w:cs="Arial"/>
        </w:rPr>
      </w:pPr>
      <w:r>
        <w:rPr>
          <w:rFonts w:ascii="Verdana" w:hAnsi="Verdana"/>
          <w:noProof/>
          <w:color w:val="0000FF"/>
          <w:lang w:eastAsia="es-ES"/>
        </w:rPr>
        <w:drawing>
          <wp:inline distT="0" distB="0" distL="0" distR="0" wp14:anchorId="63BB018D" wp14:editId="18376D92">
            <wp:extent cx="3574730" cy="692728"/>
            <wp:effectExtent l="0" t="0" r="0" b="0"/>
            <wp:docPr id="1" name="Imagen 1" descr="Departamentuaren kolorezko horizontal logoa">
              <a:hlinkClick xmlns:a="http://schemas.openxmlformats.org/drawingml/2006/main" r:id="rId8" tgtFrame="&quot;_blank&quot;" tooltip="&quot;Saileko logoa koloretan&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artamentuaren kolorezko horizontal logoa">
                      <a:hlinkClick r:id="rId8" tgtFrame="&quot;_blank&quot;" tooltip="&quot;Saileko logoa koloretan&quot;"/>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87910" cy="695282"/>
                    </a:xfrm>
                    <a:prstGeom prst="rect">
                      <a:avLst/>
                    </a:prstGeom>
                    <a:noFill/>
                    <a:ln>
                      <a:noFill/>
                    </a:ln>
                  </pic:spPr>
                </pic:pic>
              </a:graphicData>
            </a:graphic>
          </wp:inline>
        </w:drawing>
      </w:r>
    </w:p>
    <w:p w14:paraId="75F0DFE8" w14:textId="77777777" w:rsidR="00347989" w:rsidRPr="008C5CDB" w:rsidRDefault="00347989" w:rsidP="00347989">
      <w:pPr>
        <w:spacing w:line="360" w:lineRule="auto"/>
        <w:jc w:val="center"/>
        <w:rPr>
          <w:rFonts w:ascii="Arial" w:hAnsi="Arial" w:cs="Arial"/>
        </w:rPr>
      </w:pPr>
    </w:p>
    <w:p w14:paraId="34CAD0DA" w14:textId="77777777" w:rsidR="00347989" w:rsidRDefault="00347989" w:rsidP="00347989">
      <w:pPr>
        <w:pStyle w:val="Default"/>
        <w:spacing w:line="360" w:lineRule="auto"/>
        <w:jc w:val="center"/>
        <w:rPr>
          <w:b/>
          <w:bCs/>
          <w:szCs w:val="22"/>
        </w:rPr>
      </w:pPr>
      <w:r w:rsidRPr="008C5CDB">
        <w:rPr>
          <w:b/>
          <w:bCs/>
          <w:szCs w:val="22"/>
        </w:rPr>
        <w:t xml:space="preserve">Catálogo Vasco de Especies Amenazadas de la </w:t>
      </w:r>
      <w:r w:rsidRPr="00DE5B89">
        <w:rPr>
          <w:b/>
          <w:bCs/>
          <w:szCs w:val="22"/>
        </w:rPr>
        <w:t>Fauna y Flora Silvestre y Marina (Decreto 167/1996)</w:t>
      </w:r>
    </w:p>
    <w:p w14:paraId="1CB5F06E" w14:textId="7198E2D4" w:rsidR="003E2C9F" w:rsidRDefault="003E2C9F" w:rsidP="001A1482">
      <w:pPr>
        <w:pStyle w:val="Default"/>
        <w:spacing w:line="360" w:lineRule="auto"/>
        <w:jc w:val="center"/>
        <w:rPr>
          <w:b/>
          <w:bCs/>
        </w:rPr>
      </w:pPr>
      <w:r w:rsidRPr="002F0411">
        <w:rPr>
          <w:b/>
          <w:bCs/>
          <w:color w:val="auto"/>
          <w:szCs w:val="22"/>
        </w:rPr>
        <w:t>Propuesta de inclusión en el CVEA de</w:t>
      </w:r>
      <w:r w:rsidR="00404E83">
        <w:rPr>
          <w:b/>
          <w:bCs/>
          <w:color w:val="auto"/>
          <w:szCs w:val="22"/>
        </w:rPr>
        <w:t xml:space="preserve"> las poblaciones costeras de </w:t>
      </w:r>
      <w:r w:rsidR="00404E83" w:rsidRPr="00404E83">
        <w:rPr>
          <w:b/>
          <w:bCs/>
          <w:i/>
          <w:color w:val="auto"/>
          <w:szCs w:val="22"/>
        </w:rPr>
        <w:t>Epidalea calamita</w:t>
      </w:r>
      <w:r w:rsidRPr="002F0411">
        <w:rPr>
          <w:b/>
          <w:bCs/>
          <w:i/>
          <w:iCs/>
          <w:color w:val="auto"/>
          <w:szCs w:val="22"/>
        </w:rPr>
        <w:t xml:space="preserve"> </w:t>
      </w:r>
      <w:r w:rsidR="00404E83">
        <w:rPr>
          <w:b/>
          <w:bCs/>
          <w:color w:val="auto"/>
          <w:szCs w:val="22"/>
        </w:rPr>
        <w:t>Laurenti</w:t>
      </w:r>
      <w:r w:rsidRPr="002F0411">
        <w:rPr>
          <w:b/>
          <w:bCs/>
          <w:color w:val="auto"/>
          <w:szCs w:val="22"/>
        </w:rPr>
        <w:t xml:space="preserve">, </w:t>
      </w:r>
      <w:r w:rsidR="00404E83">
        <w:rPr>
          <w:b/>
          <w:bCs/>
          <w:color w:val="auto"/>
          <w:szCs w:val="22"/>
        </w:rPr>
        <w:t>1768</w:t>
      </w:r>
      <w:r w:rsidR="001A1482">
        <w:rPr>
          <w:b/>
          <w:bCs/>
          <w:color w:val="auto"/>
          <w:szCs w:val="22"/>
        </w:rPr>
        <w:t xml:space="preserve"> </w:t>
      </w:r>
      <w:r w:rsidRPr="002F0411">
        <w:rPr>
          <w:b/>
          <w:bCs/>
        </w:rPr>
        <w:t>en la categoría</w:t>
      </w:r>
      <w:r w:rsidR="002F0411" w:rsidRPr="002F0411">
        <w:rPr>
          <w:b/>
          <w:bCs/>
        </w:rPr>
        <w:t xml:space="preserve"> de</w:t>
      </w:r>
      <w:r w:rsidRPr="002F0411">
        <w:rPr>
          <w:b/>
          <w:bCs/>
        </w:rPr>
        <w:t xml:space="preserve"> “</w:t>
      </w:r>
      <w:r w:rsidRPr="00B776B9">
        <w:rPr>
          <w:b/>
          <w:bCs/>
          <w:i/>
        </w:rPr>
        <w:t>En Peligro</w:t>
      </w:r>
      <w:r w:rsidR="00895964" w:rsidRPr="00B776B9">
        <w:rPr>
          <w:b/>
          <w:bCs/>
          <w:i/>
        </w:rPr>
        <w:t xml:space="preserve"> de Extinción</w:t>
      </w:r>
      <w:r w:rsidRPr="002F0411">
        <w:rPr>
          <w:b/>
          <w:bCs/>
        </w:rPr>
        <w:t>”</w:t>
      </w:r>
      <w:r w:rsidR="001A1482">
        <w:rPr>
          <w:b/>
          <w:bCs/>
        </w:rPr>
        <w:t>.</w:t>
      </w:r>
    </w:p>
    <w:p w14:paraId="0AD56596" w14:textId="77777777" w:rsidR="001A1482" w:rsidRPr="002F0411" w:rsidRDefault="001A1482" w:rsidP="001A1482">
      <w:pPr>
        <w:pStyle w:val="Default"/>
        <w:spacing w:line="360" w:lineRule="auto"/>
        <w:jc w:val="center"/>
      </w:pPr>
    </w:p>
    <w:tbl>
      <w:tblPr>
        <w:tblStyle w:val="Tablaconcuadrcula"/>
        <w:tblW w:w="0" w:type="auto"/>
        <w:tblLayout w:type="fixed"/>
        <w:tblLook w:val="04A0" w:firstRow="1" w:lastRow="0" w:firstColumn="1" w:lastColumn="0" w:noHBand="0" w:noVBand="1"/>
      </w:tblPr>
      <w:tblGrid>
        <w:gridCol w:w="1951"/>
        <w:gridCol w:w="6769"/>
      </w:tblGrid>
      <w:tr w:rsidR="004E0837" w:rsidRPr="004E0837" w14:paraId="432FED59" w14:textId="77777777" w:rsidTr="001A1482">
        <w:tc>
          <w:tcPr>
            <w:tcW w:w="1951" w:type="dxa"/>
            <w:shd w:val="clear" w:color="auto" w:fill="BFBFBF" w:themeFill="background1" w:themeFillShade="BF"/>
          </w:tcPr>
          <w:p w14:paraId="37A6D2C1" w14:textId="77777777" w:rsidR="001A1482" w:rsidRDefault="001A1482" w:rsidP="008C3364">
            <w:pPr>
              <w:spacing w:line="360" w:lineRule="auto"/>
              <w:jc w:val="center"/>
              <w:rPr>
                <w:rFonts w:ascii="Arial" w:hAnsi="Arial" w:cs="Arial"/>
                <w:b/>
              </w:rPr>
            </w:pPr>
          </w:p>
          <w:p w14:paraId="15F016D9" w14:textId="77777777" w:rsidR="003E2C9F" w:rsidRPr="004E0837" w:rsidRDefault="003E2C9F" w:rsidP="008C3364">
            <w:pPr>
              <w:spacing w:line="360" w:lineRule="auto"/>
              <w:jc w:val="center"/>
              <w:rPr>
                <w:rFonts w:ascii="Arial" w:hAnsi="Arial" w:cs="Arial"/>
                <w:b/>
              </w:rPr>
            </w:pPr>
            <w:r w:rsidRPr="004E0837">
              <w:rPr>
                <w:rFonts w:ascii="Arial" w:hAnsi="Arial" w:cs="Arial"/>
                <w:b/>
              </w:rPr>
              <w:t>Nombre científico</w:t>
            </w:r>
          </w:p>
        </w:tc>
        <w:tc>
          <w:tcPr>
            <w:tcW w:w="6769" w:type="dxa"/>
          </w:tcPr>
          <w:p w14:paraId="36A9496A" w14:textId="77777777" w:rsidR="001A1482" w:rsidRDefault="001A1482" w:rsidP="008C3364">
            <w:pPr>
              <w:spacing w:line="360" w:lineRule="auto"/>
              <w:jc w:val="center"/>
              <w:rPr>
                <w:rFonts w:ascii="Arial" w:hAnsi="Arial" w:cs="Arial"/>
                <w:i/>
              </w:rPr>
            </w:pPr>
          </w:p>
          <w:p w14:paraId="17724565" w14:textId="77777777" w:rsidR="003E2C9F" w:rsidRDefault="00404E83" w:rsidP="001A1482">
            <w:pPr>
              <w:spacing w:line="360" w:lineRule="auto"/>
              <w:jc w:val="center"/>
              <w:rPr>
                <w:rFonts w:ascii="Arial" w:hAnsi="Arial" w:cs="Arial"/>
              </w:rPr>
            </w:pPr>
            <w:r>
              <w:rPr>
                <w:rFonts w:ascii="Arial" w:hAnsi="Arial" w:cs="Arial"/>
                <w:i/>
              </w:rPr>
              <w:t>Epidalea calamita</w:t>
            </w:r>
            <w:r w:rsidR="001A1482">
              <w:rPr>
                <w:rFonts w:ascii="Arial" w:hAnsi="Arial" w:cs="Arial"/>
              </w:rPr>
              <w:t xml:space="preserve"> </w:t>
            </w:r>
            <w:r>
              <w:rPr>
                <w:rFonts w:ascii="Arial" w:hAnsi="Arial" w:cs="Arial"/>
              </w:rPr>
              <w:t>Laurenti</w:t>
            </w:r>
            <w:r w:rsidR="009A6413" w:rsidRPr="004E0837">
              <w:rPr>
                <w:rFonts w:ascii="Arial" w:hAnsi="Arial" w:cs="Arial"/>
              </w:rPr>
              <w:t xml:space="preserve">, </w:t>
            </w:r>
            <w:r>
              <w:rPr>
                <w:rFonts w:ascii="Arial" w:hAnsi="Arial" w:cs="Arial"/>
              </w:rPr>
              <w:t>1768</w:t>
            </w:r>
            <w:r w:rsidR="001A1482">
              <w:rPr>
                <w:rFonts w:ascii="Arial" w:hAnsi="Arial" w:cs="Arial"/>
              </w:rPr>
              <w:t>.</w:t>
            </w:r>
          </w:p>
          <w:p w14:paraId="15DCFE06" w14:textId="77777777" w:rsidR="001A1482" w:rsidRPr="004E0837" w:rsidRDefault="001A1482" w:rsidP="001A1482">
            <w:pPr>
              <w:spacing w:line="360" w:lineRule="auto"/>
              <w:jc w:val="center"/>
              <w:rPr>
                <w:rFonts w:ascii="Arial" w:hAnsi="Arial" w:cs="Arial"/>
              </w:rPr>
            </w:pPr>
          </w:p>
          <w:p w14:paraId="5A09E6D9" w14:textId="77777777" w:rsidR="009A6413" w:rsidRPr="004E0837" w:rsidRDefault="00026F21" w:rsidP="008C3364">
            <w:pPr>
              <w:spacing w:line="360" w:lineRule="auto"/>
              <w:jc w:val="center"/>
              <w:rPr>
                <w:rFonts w:ascii="Arial" w:hAnsi="Arial" w:cs="Arial"/>
              </w:rPr>
            </w:pPr>
            <w:r>
              <w:rPr>
                <w:rFonts w:ascii="Arial" w:hAnsi="Arial" w:cs="Arial"/>
                <w:noProof/>
                <w:lang w:eastAsia="es-ES"/>
              </w:rPr>
              <w:drawing>
                <wp:inline distT="0" distB="0" distL="0" distR="0" wp14:anchorId="63E96AB9" wp14:editId="0CB02216">
                  <wp:extent cx="4089399" cy="3067050"/>
                  <wp:effectExtent l="0" t="0" r="698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ufo calamita 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98229" cy="3073672"/>
                          </a:xfrm>
                          <a:prstGeom prst="rect">
                            <a:avLst/>
                          </a:prstGeom>
                        </pic:spPr>
                      </pic:pic>
                    </a:graphicData>
                  </a:graphic>
                </wp:inline>
              </w:drawing>
            </w:r>
          </w:p>
          <w:p w14:paraId="5273E548" w14:textId="3DDF1560" w:rsidR="001A1482" w:rsidRPr="00347989" w:rsidRDefault="001A1482" w:rsidP="00911621">
            <w:pPr>
              <w:spacing w:line="360" w:lineRule="auto"/>
              <w:jc w:val="center"/>
              <w:rPr>
                <w:rFonts w:ascii="Arial" w:hAnsi="Arial" w:cs="Arial"/>
                <w:sz w:val="18"/>
                <w:szCs w:val="18"/>
              </w:rPr>
            </w:pPr>
            <w:r w:rsidRPr="00347989">
              <w:rPr>
                <w:rFonts w:ascii="Arial" w:hAnsi="Arial" w:cs="Arial"/>
                <w:sz w:val="18"/>
                <w:szCs w:val="18"/>
              </w:rPr>
              <w:t>Foto:</w:t>
            </w:r>
            <w:r w:rsidR="009A6413" w:rsidRPr="00347989">
              <w:rPr>
                <w:rFonts w:ascii="Arial" w:hAnsi="Arial" w:cs="Arial"/>
                <w:sz w:val="18"/>
                <w:szCs w:val="18"/>
              </w:rPr>
              <w:t xml:space="preserve"> </w:t>
            </w:r>
            <w:r w:rsidRPr="00347989">
              <w:rPr>
                <w:rFonts w:ascii="Arial" w:hAnsi="Arial" w:cs="Arial"/>
                <w:sz w:val="18"/>
                <w:szCs w:val="18"/>
              </w:rPr>
              <w:t xml:space="preserve">I. </w:t>
            </w:r>
            <w:r w:rsidR="00026F21" w:rsidRPr="00347989">
              <w:rPr>
                <w:rFonts w:ascii="Arial" w:hAnsi="Arial" w:cs="Arial"/>
                <w:sz w:val="18"/>
                <w:szCs w:val="18"/>
              </w:rPr>
              <w:t>Garin Barrio</w:t>
            </w:r>
            <w:r w:rsidRPr="00347989">
              <w:rPr>
                <w:rFonts w:ascii="Arial" w:hAnsi="Arial" w:cs="Arial"/>
                <w:sz w:val="18"/>
                <w:szCs w:val="18"/>
              </w:rPr>
              <w:t>.</w:t>
            </w:r>
          </w:p>
        </w:tc>
      </w:tr>
      <w:tr w:rsidR="004E0837" w:rsidRPr="004E0837" w14:paraId="163053B3" w14:textId="77777777" w:rsidTr="001A1482">
        <w:tc>
          <w:tcPr>
            <w:tcW w:w="1951" w:type="dxa"/>
            <w:shd w:val="clear" w:color="auto" w:fill="BFBFBF" w:themeFill="background1" w:themeFillShade="BF"/>
          </w:tcPr>
          <w:p w14:paraId="20B14248" w14:textId="77777777" w:rsidR="003E2C9F" w:rsidRPr="004E0837" w:rsidRDefault="003E2C9F" w:rsidP="008C3364">
            <w:pPr>
              <w:spacing w:line="360" w:lineRule="auto"/>
              <w:jc w:val="center"/>
              <w:rPr>
                <w:rFonts w:ascii="Arial" w:hAnsi="Arial" w:cs="Arial"/>
                <w:b/>
              </w:rPr>
            </w:pPr>
            <w:r w:rsidRPr="004E0837">
              <w:rPr>
                <w:rFonts w:ascii="Arial" w:hAnsi="Arial" w:cs="Arial"/>
                <w:b/>
              </w:rPr>
              <w:t>Nombre vulgar euskera</w:t>
            </w:r>
          </w:p>
          <w:p w14:paraId="4B487A8E" w14:textId="77777777" w:rsidR="003E2C9F" w:rsidRPr="004E0837" w:rsidRDefault="003E2C9F" w:rsidP="008C3364">
            <w:pPr>
              <w:spacing w:line="360" w:lineRule="auto"/>
              <w:jc w:val="center"/>
              <w:rPr>
                <w:rFonts w:ascii="Arial" w:hAnsi="Arial" w:cs="Arial"/>
                <w:b/>
              </w:rPr>
            </w:pPr>
            <w:r w:rsidRPr="004E0837">
              <w:rPr>
                <w:rFonts w:ascii="Arial" w:hAnsi="Arial" w:cs="Arial"/>
                <w:b/>
              </w:rPr>
              <w:t>Nombre vulgar castellano</w:t>
            </w:r>
          </w:p>
        </w:tc>
        <w:tc>
          <w:tcPr>
            <w:tcW w:w="6769" w:type="dxa"/>
          </w:tcPr>
          <w:p w14:paraId="36926E7B" w14:textId="77777777" w:rsidR="001A1482" w:rsidRDefault="001A1482" w:rsidP="008C3364">
            <w:pPr>
              <w:spacing w:line="360" w:lineRule="auto"/>
              <w:jc w:val="center"/>
              <w:rPr>
                <w:rFonts w:ascii="Arial" w:hAnsi="Arial" w:cs="Arial"/>
              </w:rPr>
            </w:pPr>
          </w:p>
          <w:p w14:paraId="2AA536CE" w14:textId="77777777" w:rsidR="003E2C9F" w:rsidRPr="004E0837" w:rsidRDefault="00026F21" w:rsidP="008C3364">
            <w:pPr>
              <w:spacing w:line="360" w:lineRule="auto"/>
              <w:jc w:val="center"/>
              <w:rPr>
                <w:rFonts w:ascii="Arial" w:hAnsi="Arial" w:cs="Arial"/>
              </w:rPr>
            </w:pPr>
            <w:r>
              <w:rPr>
                <w:rFonts w:ascii="Arial" w:hAnsi="Arial" w:cs="Arial"/>
              </w:rPr>
              <w:t>Apo lasterkaria</w:t>
            </w:r>
          </w:p>
          <w:p w14:paraId="1F3459AD" w14:textId="77777777" w:rsidR="00E278D9" w:rsidRDefault="00E278D9" w:rsidP="002F0411">
            <w:pPr>
              <w:spacing w:line="360" w:lineRule="auto"/>
              <w:jc w:val="center"/>
              <w:rPr>
                <w:rFonts w:ascii="Arial" w:hAnsi="Arial" w:cs="Arial"/>
              </w:rPr>
            </w:pPr>
          </w:p>
          <w:p w14:paraId="40FDDF55" w14:textId="3243E07D" w:rsidR="00E278D9" w:rsidRDefault="00026F21" w:rsidP="00911621">
            <w:pPr>
              <w:spacing w:line="360" w:lineRule="auto"/>
              <w:jc w:val="center"/>
              <w:rPr>
                <w:rFonts w:ascii="Arial" w:hAnsi="Arial" w:cs="Arial"/>
              </w:rPr>
            </w:pPr>
            <w:r>
              <w:rPr>
                <w:rFonts w:ascii="Arial" w:hAnsi="Arial" w:cs="Arial"/>
              </w:rPr>
              <w:t>Sapo corredor</w:t>
            </w:r>
          </w:p>
          <w:p w14:paraId="666D9D16" w14:textId="77777777" w:rsidR="00E278D9" w:rsidRPr="004E0837" w:rsidRDefault="00E278D9" w:rsidP="002F0411">
            <w:pPr>
              <w:spacing w:line="360" w:lineRule="auto"/>
              <w:jc w:val="center"/>
              <w:rPr>
                <w:rFonts w:ascii="Arial" w:hAnsi="Arial" w:cs="Arial"/>
              </w:rPr>
            </w:pPr>
          </w:p>
        </w:tc>
      </w:tr>
      <w:tr w:rsidR="004E0837" w:rsidRPr="004E0837" w14:paraId="393E15D7" w14:textId="77777777" w:rsidTr="001A1482">
        <w:tc>
          <w:tcPr>
            <w:tcW w:w="1951" w:type="dxa"/>
            <w:shd w:val="clear" w:color="auto" w:fill="BFBFBF" w:themeFill="background1" w:themeFillShade="BF"/>
          </w:tcPr>
          <w:p w14:paraId="5707B36C" w14:textId="77777777" w:rsidR="001A1482" w:rsidRDefault="001A1482" w:rsidP="008C3364">
            <w:pPr>
              <w:spacing w:line="360" w:lineRule="auto"/>
              <w:jc w:val="center"/>
              <w:rPr>
                <w:rFonts w:ascii="Arial" w:hAnsi="Arial" w:cs="Arial"/>
                <w:b/>
              </w:rPr>
            </w:pPr>
          </w:p>
          <w:p w14:paraId="5D7B1551" w14:textId="77777777" w:rsidR="003E2C9F" w:rsidRPr="004E0837" w:rsidRDefault="003E2C9F" w:rsidP="008C3364">
            <w:pPr>
              <w:spacing w:line="360" w:lineRule="auto"/>
              <w:jc w:val="center"/>
              <w:rPr>
                <w:rFonts w:ascii="Arial" w:hAnsi="Arial" w:cs="Arial"/>
                <w:b/>
              </w:rPr>
            </w:pPr>
            <w:r w:rsidRPr="004E0837">
              <w:rPr>
                <w:rFonts w:ascii="Arial" w:hAnsi="Arial" w:cs="Arial"/>
                <w:b/>
              </w:rPr>
              <w:t>Posición taxonómica</w:t>
            </w:r>
          </w:p>
        </w:tc>
        <w:tc>
          <w:tcPr>
            <w:tcW w:w="6769" w:type="dxa"/>
          </w:tcPr>
          <w:p w14:paraId="55EDB185" w14:textId="77777777" w:rsidR="00F02E87" w:rsidRPr="004E0837" w:rsidRDefault="00F02E87" w:rsidP="008C3364">
            <w:pPr>
              <w:spacing w:line="360" w:lineRule="auto"/>
              <w:jc w:val="center"/>
              <w:rPr>
                <w:rFonts w:ascii="Arial" w:hAnsi="Arial" w:cs="Arial"/>
              </w:rPr>
            </w:pPr>
            <w:r w:rsidRPr="004E0837">
              <w:rPr>
                <w:rFonts w:ascii="Arial" w:hAnsi="Arial" w:cs="Arial"/>
              </w:rPr>
              <w:t>Reino: Animalia</w:t>
            </w:r>
          </w:p>
          <w:p w14:paraId="1AC02724" w14:textId="77777777" w:rsidR="00F02E87" w:rsidRPr="004E0837" w:rsidRDefault="00F02E87" w:rsidP="008C3364">
            <w:pPr>
              <w:spacing w:line="360" w:lineRule="auto"/>
              <w:jc w:val="center"/>
              <w:rPr>
                <w:rFonts w:ascii="Arial" w:hAnsi="Arial" w:cs="Arial"/>
              </w:rPr>
            </w:pPr>
            <w:r w:rsidRPr="004E0837">
              <w:rPr>
                <w:rFonts w:ascii="Arial" w:hAnsi="Arial" w:cs="Arial"/>
              </w:rPr>
              <w:t>Filo: Chordata</w:t>
            </w:r>
          </w:p>
          <w:p w14:paraId="58AA522A" w14:textId="77777777" w:rsidR="00F02E87" w:rsidRPr="004E0837" w:rsidRDefault="00F02E87" w:rsidP="008C3364">
            <w:pPr>
              <w:spacing w:line="360" w:lineRule="auto"/>
              <w:jc w:val="center"/>
              <w:rPr>
                <w:rFonts w:ascii="Arial" w:hAnsi="Arial" w:cs="Arial"/>
              </w:rPr>
            </w:pPr>
            <w:r w:rsidRPr="004E0837">
              <w:rPr>
                <w:rFonts w:ascii="Arial" w:hAnsi="Arial" w:cs="Arial"/>
              </w:rPr>
              <w:t>Subfilo: Vertebrata</w:t>
            </w:r>
          </w:p>
          <w:p w14:paraId="191EF70B" w14:textId="77777777" w:rsidR="00F02E87" w:rsidRPr="004E0837" w:rsidRDefault="00F02E87" w:rsidP="008C3364">
            <w:pPr>
              <w:spacing w:line="360" w:lineRule="auto"/>
              <w:jc w:val="center"/>
              <w:rPr>
                <w:rFonts w:ascii="Arial" w:hAnsi="Arial" w:cs="Arial"/>
              </w:rPr>
            </w:pPr>
            <w:r w:rsidRPr="004E0837">
              <w:rPr>
                <w:rFonts w:ascii="Arial" w:hAnsi="Arial" w:cs="Arial"/>
              </w:rPr>
              <w:lastRenderedPageBreak/>
              <w:t>Superclase: Tetrapoda</w:t>
            </w:r>
          </w:p>
          <w:p w14:paraId="53F8160B" w14:textId="77777777" w:rsidR="00F02E87" w:rsidRPr="004E0837" w:rsidRDefault="00F02E87" w:rsidP="008C3364">
            <w:pPr>
              <w:spacing w:line="360" w:lineRule="auto"/>
              <w:jc w:val="center"/>
              <w:rPr>
                <w:rFonts w:ascii="Arial" w:hAnsi="Arial" w:cs="Arial"/>
              </w:rPr>
            </w:pPr>
            <w:r w:rsidRPr="004E0837">
              <w:rPr>
                <w:rFonts w:ascii="Arial" w:hAnsi="Arial" w:cs="Arial"/>
              </w:rPr>
              <w:t>Clase: Amphibia</w:t>
            </w:r>
          </w:p>
          <w:p w14:paraId="6F7294E9" w14:textId="77777777" w:rsidR="00F02E87" w:rsidRPr="004E0837" w:rsidRDefault="00F02E87" w:rsidP="008C3364">
            <w:pPr>
              <w:spacing w:line="360" w:lineRule="auto"/>
              <w:jc w:val="center"/>
              <w:rPr>
                <w:rFonts w:ascii="Arial" w:hAnsi="Arial" w:cs="Arial"/>
              </w:rPr>
            </w:pPr>
            <w:r w:rsidRPr="004E0837">
              <w:rPr>
                <w:rFonts w:ascii="Arial" w:hAnsi="Arial" w:cs="Arial"/>
              </w:rPr>
              <w:t>Subclase: Lissamphibia</w:t>
            </w:r>
          </w:p>
          <w:p w14:paraId="19C7A496" w14:textId="77777777" w:rsidR="00F02E87" w:rsidRPr="004E0837" w:rsidRDefault="00F02E87" w:rsidP="008C3364">
            <w:pPr>
              <w:spacing w:line="360" w:lineRule="auto"/>
              <w:jc w:val="center"/>
              <w:rPr>
                <w:rFonts w:ascii="Arial" w:hAnsi="Arial" w:cs="Arial"/>
              </w:rPr>
            </w:pPr>
            <w:r w:rsidRPr="004E0837">
              <w:rPr>
                <w:rFonts w:ascii="Arial" w:hAnsi="Arial" w:cs="Arial"/>
              </w:rPr>
              <w:t>Orden:</w:t>
            </w:r>
            <w:r w:rsidRPr="004E0837">
              <w:rPr>
                <w:rFonts w:ascii="Arial" w:hAnsi="Arial" w:cs="Arial"/>
              </w:rPr>
              <w:tab/>
              <w:t>Anura</w:t>
            </w:r>
          </w:p>
          <w:p w14:paraId="1B01BE60" w14:textId="77777777" w:rsidR="00F02E87" w:rsidRPr="004E0837" w:rsidRDefault="00F02E87" w:rsidP="008C3364">
            <w:pPr>
              <w:spacing w:line="360" w:lineRule="auto"/>
              <w:jc w:val="center"/>
              <w:rPr>
                <w:rFonts w:ascii="Arial" w:hAnsi="Arial" w:cs="Arial"/>
              </w:rPr>
            </w:pPr>
            <w:r w:rsidRPr="004E0837">
              <w:rPr>
                <w:rFonts w:ascii="Arial" w:hAnsi="Arial" w:cs="Arial"/>
              </w:rPr>
              <w:t xml:space="preserve">Familia: </w:t>
            </w:r>
            <w:r w:rsidR="00026F21">
              <w:rPr>
                <w:rFonts w:ascii="Arial" w:hAnsi="Arial" w:cs="Arial"/>
              </w:rPr>
              <w:t>Bufoni</w:t>
            </w:r>
            <w:r w:rsidR="002F0411" w:rsidRPr="004E0837">
              <w:rPr>
                <w:rFonts w:ascii="Arial" w:hAnsi="Arial" w:cs="Arial"/>
              </w:rPr>
              <w:t>dae</w:t>
            </w:r>
          </w:p>
          <w:p w14:paraId="2CF11EFA" w14:textId="77777777" w:rsidR="003E2C9F" w:rsidRPr="004E0837" w:rsidRDefault="003E2C9F" w:rsidP="00026F21">
            <w:pPr>
              <w:spacing w:line="360" w:lineRule="auto"/>
              <w:jc w:val="center"/>
              <w:rPr>
                <w:rFonts w:ascii="Arial" w:hAnsi="Arial" w:cs="Arial"/>
              </w:rPr>
            </w:pPr>
          </w:p>
        </w:tc>
      </w:tr>
      <w:tr w:rsidR="004E0837" w:rsidRPr="004E0837" w14:paraId="4B9BEB19" w14:textId="77777777" w:rsidTr="001A1482">
        <w:tc>
          <w:tcPr>
            <w:tcW w:w="1951" w:type="dxa"/>
            <w:shd w:val="clear" w:color="auto" w:fill="BFBFBF" w:themeFill="background1" w:themeFillShade="BF"/>
          </w:tcPr>
          <w:p w14:paraId="1DD8BBB7" w14:textId="77777777" w:rsidR="001A1482" w:rsidRDefault="001A1482" w:rsidP="008C3364">
            <w:pPr>
              <w:spacing w:line="360" w:lineRule="auto"/>
              <w:jc w:val="center"/>
              <w:rPr>
                <w:rFonts w:ascii="Arial" w:hAnsi="Arial" w:cs="Arial"/>
                <w:b/>
              </w:rPr>
            </w:pPr>
          </w:p>
          <w:p w14:paraId="1EA61075" w14:textId="77777777" w:rsidR="003E2C9F" w:rsidRPr="004E0837" w:rsidRDefault="003E2C9F" w:rsidP="008C3364">
            <w:pPr>
              <w:spacing w:line="360" w:lineRule="auto"/>
              <w:jc w:val="center"/>
              <w:rPr>
                <w:rFonts w:ascii="Arial" w:hAnsi="Arial" w:cs="Arial"/>
                <w:b/>
              </w:rPr>
            </w:pPr>
            <w:r w:rsidRPr="004E0837">
              <w:rPr>
                <w:rFonts w:ascii="Arial" w:hAnsi="Arial" w:cs="Arial"/>
                <w:b/>
              </w:rPr>
              <w:t>Observaciones taxonómicas</w:t>
            </w:r>
          </w:p>
        </w:tc>
        <w:tc>
          <w:tcPr>
            <w:tcW w:w="6769" w:type="dxa"/>
          </w:tcPr>
          <w:p w14:paraId="63D21C16" w14:textId="77777777" w:rsidR="001A1482" w:rsidRDefault="001A1482" w:rsidP="00561728">
            <w:pPr>
              <w:spacing w:line="360" w:lineRule="auto"/>
              <w:jc w:val="both"/>
              <w:rPr>
                <w:rFonts w:ascii="Arial" w:hAnsi="Arial" w:cs="Arial"/>
                <w:shd w:val="clear" w:color="auto" w:fill="FFFFFF"/>
              </w:rPr>
            </w:pPr>
          </w:p>
          <w:p w14:paraId="3D003271" w14:textId="1132BD9F" w:rsidR="001A1482" w:rsidRPr="00026F21" w:rsidRDefault="00026F21" w:rsidP="00347989">
            <w:pPr>
              <w:spacing w:line="360" w:lineRule="auto"/>
              <w:jc w:val="both"/>
              <w:rPr>
                <w:rFonts w:ascii="Arial" w:hAnsi="Arial" w:cs="Arial"/>
              </w:rPr>
            </w:pPr>
            <w:r>
              <w:rPr>
                <w:rFonts w:ascii="Arial" w:hAnsi="Arial" w:cs="Arial"/>
                <w:shd w:val="clear" w:color="auto" w:fill="FFFFFF"/>
              </w:rPr>
              <w:t xml:space="preserve">Hasta hace unos años, el nombre científico </w:t>
            </w:r>
            <w:r w:rsidR="00EB5713">
              <w:rPr>
                <w:rFonts w:ascii="Arial" w:hAnsi="Arial" w:cs="Arial"/>
                <w:shd w:val="clear" w:color="auto" w:fill="FFFFFF"/>
              </w:rPr>
              <w:t xml:space="preserve">comúnmente aplicado </w:t>
            </w:r>
            <w:r w:rsidR="00F07D6B">
              <w:rPr>
                <w:rFonts w:ascii="Arial" w:hAnsi="Arial" w:cs="Arial"/>
                <w:shd w:val="clear" w:color="auto" w:fill="FFFFFF"/>
              </w:rPr>
              <w:t>a</w:t>
            </w:r>
            <w:r>
              <w:rPr>
                <w:rFonts w:ascii="Arial" w:hAnsi="Arial" w:cs="Arial"/>
                <w:shd w:val="clear" w:color="auto" w:fill="FFFFFF"/>
              </w:rPr>
              <w:t xml:space="preserve">l sapo corredor en la península ibérica </w:t>
            </w:r>
            <w:r w:rsidR="00EB5713">
              <w:rPr>
                <w:rFonts w:ascii="Arial" w:hAnsi="Arial" w:cs="Arial"/>
                <w:shd w:val="clear" w:color="auto" w:fill="FFFFFF"/>
              </w:rPr>
              <w:t>era</w:t>
            </w:r>
            <w:r>
              <w:rPr>
                <w:rFonts w:ascii="Arial" w:hAnsi="Arial" w:cs="Arial"/>
                <w:shd w:val="clear" w:color="auto" w:fill="FFFFFF"/>
              </w:rPr>
              <w:t xml:space="preserve"> </w:t>
            </w:r>
            <w:r w:rsidRPr="00561728">
              <w:rPr>
                <w:rFonts w:ascii="Arial" w:hAnsi="Arial" w:cs="Arial"/>
                <w:i/>
                <w:shd w:val="clear" w:color="auto" w:fill="FFFFFF"/>
              </w:rPr>
              <w:t>Bufo calamita</w:t>
            </w:r>
            <w:r>
              <w:rPr>
                <w:rFonts w:ascii="Arial" w:hAnsi="Arial" w:cs="Arial"/>
                <w:shd w:val="clear" w:color="auto" w:fill="FFFFFF"/>
              </w:rPr>
              <w:t xml:space="preserve">, pero </w:t>
            </w:r>
            <w:r w:rsidR="00347989">
              <w:rPr>
                <w:rFonts w:ascii="Arial" w:hAnsi="Arial" w:cs="Arial"/>
                <w:shd w:val="clear" w:color="auto" w:fill="FFFFFF"/>
              </w:rPr>
              <w:t xml:space="preserve">los </w:t>
            </w:r>
            <w:r>
              <w:rPr>
                <w:rFonts w:ascii="Arial" w:hAnsi="Arial" w:cs="Arial"/>
                <w:shd w:val="clear" w:color="auto" w:fill="FFFFFF"/>
              </w:rPr>
              <w:t xml:space="preserve">estudios genéticos realizados a lo largo de los primeros años del siglo XXI, proponían </w:t>
            </w:r>
            <w:r w:rsidR="00D35B1E">
              <w:rPr>
                <w:rFonts w:ascii="Arial" w:hAnsi="Arial" w:cs="Arial"/>
                <w:shd w:val="clear" w:color="auto" w:fill="FFFFFF"/>
              </w:rPr>
              <w:t xml:space="preserve">el </w:t>
            </w:r>
            <w:r>
              <w:rPr>
                <w:rFonts w:ascii="Arial" w:hAnsi="Arial" w:cs="Arial"/>
                <w:shd w:val="clear" w:color="auto" w:fill="FFFFFF"/>
              </w:rPr>
              <w:t xml:space="preserve">género </w:t>
            </w:r>
            <w:r w:rsidR="00D35B1E" w:rsidRPr="00026F21">
              <w:rPr>
                <w:rFonts w:ascii="Arial" w:hAnsi="Arial" w:cs="Arial"/>
                <w:i/>
                <w:shd w:val="clear" w:color="auto" w:fill="FFFFFF"/>
              </w:rPr>
              <w:t>Epidalea</w:t>
            </w:r>
            <w:r w:rsidR="00D35B1E">
              <w:rPr>
                <w:rFonts w:ascii="Arial" w:hAnsi="Arial" w:cs="Arial"/>
                <w:shd w:val="clear" w:color="auto" w:fill="FFFFFF"/>
              </w:rPr>
              <w:t xml:space="preserve"> </w:t>
            </w:r>
            <w:r>
              <w:rPr>
                <w:rFonts w:ascii="Arial" w:hAnsi="Arial" w:cs="Arial"/>
                <w:shd w:val="clear" w:color="auto" w:fill="FFFFFF"/>
              </w:rPr>
              <w:t xml:space="preserve">para la especie. </w:t>
            </w:r>
            <w:r w:rsidR="00EB5713" w:rsidRPr="00026F21">
              <w:rPr>
                <w:rFonts w:ascii="Arial" w:hAnsi="Arial" w:cs="Arial"/>
                <w:shd w:val="clear" w:color="auto" w:fill="FFFFFF"/>
              </w:rPr>
              <w:t xml:space="preserve">Según </w:t>
            </w:r>
            <w:r w:rsidR="00EB5713">
              <w:rPr>
                <w:rFonts w:ascii="Arial" w:hAnsi="Arial" w:cs="Arial"/>
                <w:shd w:val="clear" w:color="auto" w:fill="FFFFFF"/>
              </w:rPr>
              <w:t>algunos a</w:t>
            </w:r>
            <w:r w:rsidR="00EB5713" w:rsidRPr="00026F21">
              <w:rPr>
                <w:rFonts w:ascii="Arial" w:hAnsi="Arial" w:cs="Arial"/>
                <w:shd w:val="clear" w:color="auto" w:fill="FFFFFF"/>
              </w:rPr>
              <w:t xml:space="preserve">utores, </w:t>
            </w:r>
            <w:r w:rsidR="00EB5713" w:rsidRPr="00026F21">
              <w:rPr>
                <w:rFonts w:ascii="Arial" w:hAnsi="Arial" w:cs="Arial"/>
                <w:i/>
                <w:iCs/>
                <w:shd w:val="clear" w:color="auto" w:fill="FFFFFF"/>
              </w:rPr>
              <w:t>Epidalea</w:t>
            </w:r>
            <w:r w:rsidR="00EB5713">
              <w:rPr>
                <w:rFonts w:ascii="Arial" w:hAnsi="Arial" w:cs="Arial"/>
                <w:shd w:val="clear" w:color="auto" w:fill="FFFFFF"/>
              </w:rPr>
              <w:t xml:space="preserve"> </w:t>
            </w:r>
            <w:r w:rsidR="00EB5713" w:rsidRPr="00026F21">
              <w:rPr>
                <w:rFonts w:ascii="Arial" w:hAnsi="Arial" w:cs="Arial"/>
                <w:shd w:val="clear" w:color="auto" w:fill="FFFFFF"/>
              </w:rPr>
              <w:t xml:space="preserve">puede ser un género independiente de la familia </w:t>
            </w:r>
            <w:r w:rsidR="00EB5713" w:rsidRPr="00026F21">
              <w:rPr>
                <w:rFonts w:ascii="Arial" w:hAnsi="Arial" w:cs="Arial"/>
                <w:i/>
                <w:iCs/>
                <w:shd w:val="clear" w:color="auto" w:fill="FFFFFF"/>
              </w:rPr>
              <w:t>Bufonidae</w:t>
            </w:r>
            <w:r w:rsidR="00EB5713" w:rsidRPr="00026F21">
              <w:rPr>
                <w:rFonts w:ascii="Arial" w:hAnsi="Arial" w:cs="Arial"/>
                <w:shd w:val="clear" w:color="auto" w:fill="FFFFFF"/>
              </w:rPr>
              <w:t xml:space="preserve"> o un subgénero </w:t>
            </w:r>
            <w:r w:rsidR="00D35B1E">
              <w:rPr>
                <w:rFonts w:ascii="Arial" w:hAnsi="Arial" w:cs="Arial"/>
                <w:shd w:val="clear" w:color="auto" w:fill="FFFFFF"/>
              </w:rPr>
              <w:t>dentro de una concepción amplia d</w:t>
            </w:r>
            <w:r w:rsidR="00EB5713" w:rsidRPr="00026F21">
              <w:rPr>
                <w:rFonts w:ascii="Arial" w:hAnsi="Arial" w:cs="Arial"/>
                <w:shd w:val="clear" w:color="auto" w:fill="FFFFFF"/>
              </w:rPr>
              <w:t xml:space="preserve">el género </w:t>
            </w:r>
            <w:hyperlink r:id="rId11" w:tooltip="Bufo" w:history="1">
              <w:r w:rsidR="00EB5713" w:rsidRPr="00561728">
                <w:rPr>
                  <w:rStyle w:val="Hipervnculo"/>
                  <w:rFonts w:ascii="Arial" w:hAnsi="Arial" w:cs="Arial"/>
                  <w:i/>
                  <w:iCs/>
                  <w:color w:val="auto"/>
                  <w:u w:val="none"/>
                  <w:shd w:val="clear" w:color="auto" w:fill="FFFFFF"/>
                </w:rPr>
                <w:t>Bufo</w:t>
              </w:r>
            </w:hyperlink>
            <w:r w:rsidR="00EB5713" w:rsidRPr="00561728">
              <w:rPr>
                <w:rFonts w:ascii="Arial" w:hAnsi="Arial" w:cs="Arial"/>
                <w:shd w:val="clear" w:color="auto" w:fill="FFFFFF"/>
              </w:rPr>
              <w:t>.</w:t>
            </w:r>
            <w:r w:rsidR="00EB5713">
              <w:rPr>
                <w:rFonts w:ascii="Arial" w:hAnsi="Arial" w:cs="Arial"/>
                <w:shd w:val="clear" w:color="auto" w:fill="FFFFFF"/>
              </w:rPr>
              <w:t xml:space="preserve"> </w:t>
            </w:r>
            <w:r>
              <w:rPr>
                <w:rFonts w:ascii="Arial" w:hAnsi="Arial" w:cs="Arial"/>
                <w:shd w:val="clear" w:color="auto" w:fill="FFFFFF"/>
              </w:rPr>
              <w:t>La actual lista patrón de anfibios y reptiles de España</w:t>
            </w:r>
            <w:r w:rsidR="00895964">
              <w:rPr>
                <w:rFonts w:ascii="Arial" w:hAnsi="Arial" w:cs="Arial"/>
                <w:shd w:val="clear" w:color="auto" w:fill="FFFFFF"/>
              </w:rPr>
              <w:t xml:space="preserve"> (</w:t>
            </w:r>
            <w:r w:rsidR="00347989">
              <w:rPr>
                <w:rFonts w:ascii="Arial" w:hAnsi="Arial" w:cs="Arial"/>
                <w:shd w:val="clear" w:color="auto" w:fill="FFFFFF"/>
              </w:rPr>
              <w:t>última actualización, 2020</w:t>
            </w:r>
            <w:r w:rsidR="00895964">
              <w:rPr>
                <w:rFonts w:ascii="Arial" w:hAnsi="Arial" w:cs="Arial"/>
                <w:shd w:val="clear" w:color="auto" w:fill="FFFFFF"/>
              </w:rPr>
              <w:t>)</w:t>
            </w:r>
            <w:r>
              <w:rPr>
                <w:rFonts w:ascii="Arial" w:hAnsi="Arial" w:cs="Arial"/>
                <w:shd w:val="clear" w:color="auto" w:fill="FFFFFF"/>
              </w:rPr>
              <w:t xml:space="preserve">, acepta el nombre científico de </w:t>
            </w:r>
            <w:r w:rsidRPr="00561728">
              <w:rPr>
                <w:rFonts w:ascii="Arial" w:hAnsi="Arial" w:cs="Arial"/>
                <w:i/>
                <w:shd w:val="clear" w:color="auto" w:fill="FFFFFF"/>
              </w:rPr>
              <w:t>Epidalea calamita</w:t>
            </w:r>
            <w:r>
              <w:rPr>
                <w:rFonts w:ascii="Arial" w:hAnsi="Arial" w:cs="Arial"/>
                <w:shd w:val="clear" w:color="auto" w:fill="FFFFFF"/>
              </w:rPr>
              <w:t>,</w:t>
            </w:r>
            <w:r w:rsidR="00347989">
              <w:rPr>
                <w:rFonts w:ascii="Arial" w:hAnsi="Arial" w:cs="Arial"/>
                <w:shd w:val="clear" w:color="auto" w:fill="FFFFFF"/>
              </w:rPr>
              <w:t xml:space="preserve"> que por tanto debe ser la denominación oficial</w:t>
            </w:r>
            <w:r w:rsidR="00895964">
              <w:rPr>
                <w:rFonts w:ascii="Arial" w:hAnsi="Arial" w:cs="Arial"/>
                <w:i/>
                <w:shd w:val="clear" w:color="auto" w:fill="FFFFFF"/>
              </w:rPr>
              <w:t>.</w:t>
            </w:r>
          </w:p>
        </w:tc>
      </w:tr>
      <w:tr w:rsidR="004E0837" w:rsidRPr="004E0837" w14:paraId="236CF073" w14:textId="77777777" w:rsidTr="001A1482">
        <w:tc>
          <w:tcPr>
            <w:tcW w:w="1951" w:type="dxa"/>
            <w:shd w:val="clear" w:color="auto" w:fill="BFBFBF" w:themeFill="background1" w:themeFillShade="BF"/>
          </w:tcPr>
          <w:p w14:paraId="3796F3F3" w14:textId="77777777" w:rsidR="001A1482" w:rsidRDefault="001A1482" w:rsidP="008C3364">
            <w:pPr>
              <w:spacing w:line="360" w:lineRule="auto"/>
              <w:jc w:val="center"/>
              <w:rPr>
                <w:rFonts w:ascii="Arial" w:hAnsi="Arial" w:cs="Arial"/>
                <w:b/>
              </w:rPr>
            </w:pPr>
          </w:p>
          <w:p w14:paraId="35199143" w14:textId="77777777" w:rsidR="003E2C9F" w:rsidRPr="004E0837" w:rsidRDefault="003E2C9F" w:rsidP="008C3364">
            <w:pPr>
              <w:spacing w:line="360" w:lineRule="auto"/>
              <w:jc w:val="center"/>
              <w:rPr>
                <w:rFonts w:ascii="Arial" w:hAnsi="Arial" w:cs="Arial"/>
                <w:b/>
              </w:rPr>
            </w:pPr>
            <w:r w:rsidRPr="004E0837">
              <w:rPr>
                <w:rFonts w:ascii="Arial" w:hAnsi="Arial" w:cs="Arial"/>
                <w:b/>
              </w:rPr>
              <w:t>Propuesta</w:t>
            </w:r>
          </w:p>
        </w:tc>
        <w:tc>
          <w:tcPr>
            <w:tcW w:w="6769" w:type="dxa"/>
          </w:tcPr>
          <w:p w14:paraId="30E684F8" w14:textId="77777777" w:rsidR="001A1482" w:rsidRDefault="001A1482" w:rsidP="00561728">
            <w:pPr>
              <w:autoSpaceDE w:val="0"/>
              <w:autoSpaceDN w:val="0"/>
              <w:adjustRightInd w:val="0"/>
              <w:spacing w:line="360" w:lineRule="auto"/>
              <w:jc w:val="both"/>
              <w:rPr>
                <w:rFonts w:ascii="Arial" w:hAnsi="Arial" w:cs="Arial"/>
                <w:szCs w:val="24"/>
              </w:rPr>
            </w:pPr>
          </w:p>
          <w:p w14:paraId="748813CF" w14:textId="2795D27F" w:rsidR="001A1482" w:rsidRPr="004E0837" w:rsidRDefault="00F02E87" w:rsidP="00911621">
            <w:pPr>
              <w:autoSpaceDE w:val="0"/>
              <w:autoSpaceDN w:val="0"/>
              <w:adjustRightInd w:val="0"/>
              <w:spacing w:line="360" w:lineRule="auto"/>
              <w:jc w:val="both"/>
              <w:rPr>
                <w:rFonts w:ascii="Arial" w:hAnsi="Arial" w:cs="Arial"/>
                <w:szCs w:val="24"/>
              </w:rPr>
            </w:pPr>
            <w:r w:rsidRPr="004E0837">
              <w:rPr>
                <w:rFonts w:ascii="Arial" w:hAnsi="Arial" w:cs="Arial"/>
                <w:szCs w:val="24"/>
              </w:rPr>
              <w:t>Inclusión de la</w:t>
            </w:r>
            <w:r w:rsidR="00561728">
              <w:rPr>
                <w:rFonts w:ascii="Arial" w:hAnsi="Arial" w:cs="Arial"/>
                <w:szCs w:val="24"/>
              </w:rPr>
              <w:t>s poblaciones costeras de la</w:t>
            </w:r>
            <w:r w:rsidRPr="004E0837">
              <w:rPr>
                <w:rFonts w:ascii="Arial" w:hAnsi="Arial" w:cs="Arial"/>
                <w:szCs w:val="24"/>
              </w:rPr>
              <w:t xml:space="preserve"> especie </w:t>
            </w:r>
            <w:r w:rsidR="00561728" w:rsidRPr="00561728">
              <w:rPr>
                <w:rFonts w:ascii="Arial" w:hAnsi="Arial" w:cs="Arial"/>
                <w:i/>
                <w:szCs w:val="24"/>
              </w:rPr>
              <w:t>Epidalea calamita</w:t>
            </w:r>
            <w:r w:rsidR="001A1482">
              <w:rPr>
                <w:rFonts w:ascii="Arial" w:hAnsi="Arial" w:cs="Arial"/>
                <w:szCs w:val="24"/>
              </w:rPr>
              <w:t xml:space="preserve"> </w:t>
            </w:r>
            <w:r w:rsidR="00561728">
              <w:rPr>
                <w:rFonts w:ascii="Arial" w:hAnsi="Arial" w:cs="Arial"/>
                <w:szCs w:val="24"/>
              </w:rPr>
              <w:t>Laurenti</w:t>
            </w:r>
            <w:r w:rsidRPr="004E0837">
              <w:rPr>
                <w:rFonts w:ascii="Arial" w:hAnsi="Arial" w:cs="Arial"/>
                <w:szCs w:val="24"/>
              </w:rPr>
              <w:t xml:space="preserve">, </w:t>
            </w:r>
            <w:r w:rsidR="00561728">
              <w:rPr>
                <w:rFonts w:ascii="Arial" w:hAnsi="Arial" w:cs="Arial"/>
                <w:szCs w:val="24"/>
              </w:rPr>
              <w:t>1768</w:t>
            </w:r>
            <w:r w:rsidRPr="004E0837">
              <w:rPr>
                <w:rFonts w:ascii="Arial" w:hAnsi="Arial" w:cs="Arial"/>
                <w:szCs w:val="24"/>
              </w:rPr>
              <w:t xml:space="preserve"> en el Catálogo Vasco de Especies Amenazadas en la categoría de </w:t>
            </w:r>
            <w:r w:rsidR="001A1482" w:rsidRPr="001A1482">
              <w:rPr>
                <w:rFonts w:ascii="Arial" w:hAnsi="Arial" w:cs="Arial"/>
                <w:b/>
                <w:szCs w:val="24"/>
              </w:rPr>
              <w:t>EN PELIGRO</w:t>
            </w:r>
            <w:r w:rsidR="00E638A9">
              <w:rPr>
                <w:rFonts w:ascii="Arial" w:hAnsi="Arial" w:cs="Arial"/>
                <w:b/>
                <w:szCs w:val="24"/>
              </w:rPr>
              <w:t xml:space="preserve"> DE EXTINCIÓN</w:t>
            </w:r>
            <w:r w:rsidR="001A1482">
              <w:rPr>
                <w:rFonts w:ascii="Arial" w:hAnsi="Arial" w:cs="Arial"/>
                <w:szCs w:val="24"/>
              </w:rPr>
              <w:t xml:space="preserve"> y exclusión de las poblaciones</w:t>
            </w:r>
            <w:r w:rsidR="00561728">
              <w:rPr>
                <w:rFonts w:ascii="Arial" w:hAnsi="Arial" w:cs="Arial"/>
                <w:szCs w:val="24"/>
              </w:rPr>
              <w:t xml:space="preserve"> alavesa</w:t>
            </w:r>
            <w:r w:rsidR="001A1482">
              <w:rPr>
                <w:rFonts w:ascii="Arial" w:hAnsi="Arial" w:cs="Arial"/>
                <w:szCs w:val="24"/>
              </w:rPr>
              <w:t>s</w:t>
            </w:r>
            <w:r w:rsidR="00561728">
              <w:rPr>
                <w:rFonts w:ascii="Arial" w:hAnsi="Arial" w:cs="Arial"/>
                <w:szCs w:val="24"/>
              </w:rPr>
              <w:t xml:space="preserve"> </w:t>
            </w:r>
            <w:r w:rsidR="001A1482">
              <w:rPr>
                <w:rFonts w:ascii="Arial" w:hAnsi="Arial" w:cs="Arial"/>
                <w:szCs w:val="24"/>
              </w:rPr>
              <w:t>del mismo.</w:t>
            </w:r>
          </w:p>
        </w:tc>
      </w:tr>
      <w:tr w:rsidR="004E0837" w:rsidRPr="004E0837" w14:paraId="45D9594B" w14:textId="77777777" w:rsidTr="001A1482">
        <w:tc>
          <w:tcPr>
            <w:tcW w:w="1951" w:type="dxa"/>
            <w:shd w:val="clear" w:color="auto" w:fill="BFBFBF" w:themeFill="background1" w:themeFillShade="BF"/>
          </w:tcPr>
          <w:p w14:paraId="2551362F" w14:textId="77777777" w:rsidR="001A1482" w:rsidRDefault="001A1482" w:rsidP="008C3364">
            <w:pPr>
              <w:spacing w:line="360" w:lineRule="auto"/>
              <w:jc w:val="center"/>
              <w:rPr>
                <w:rFonts w:ascii="Arial" w:hAnsi="Arial" w:cs="Arial"/>
                <w:b/>
              </w:rPr>
            </w:pPr>
          </w:p>
          <w:p w14:paraId="37986AB6" w14:textId="77777777" w:rsidR="003E2C9F" w:rsidRPr="004E0837" w:rsidRDefault="003E2C9F" w:rsidP="008C3364">
            <w:pPr>
              <w:spacing w:line="360" w:lineRule="auto"/>
              <w:jc w:val="center"/>
              <w:rPr>
                <w:rFonts w:ascii="Arial" w:hAnsi="Arial" w:cs="Arial"/>
                <w:b/>
              </w:rPr>
            </w:pPr>
            <w:r w:rsidRPr="004E0837">
              <w:rPr>
                <w:rFonts w:ascii="Arial" w:hAnsi="Arial" w:cs="Arial"/>
                <w:b/>
              </w:rPr>
              <w:t>Responsable de la propuesta</w:t>
            </w:r>
          </w:p>
        </w:tc>
        <w:tc>
          <w:tcPr>
            <w:tcW w:w="6769" w:type="dxa"/>
          </w:tcPr>
          <w:p w14:paraId="6D42A673" w14:textId="77777777" w:rsidR="001A1482" w:rsidRDefault="001A1482" w:rsidP="002E4CDC">
            <w:pPr>
              <w:spacing w:line="360" w:lineRule="auto"/>
              <w:jc w:val="both"/>
              <w:rPr>
                <w:rFonts w:ascii="Arial" w:hAnsi="Arial" w:cs="Arial"/>
              </w:rPr>
            </w:pPr>
          </w:p>
          <w:p w14:paraId="480368D4" w14:textId="39B91ABE" w:rsidR="001A1482" w:rsidRPr="004E0837" w:rsidRDefault="001A1482" w:rsidP="00911621">
            <w:pPr>
              <w:spacing w:line="360" w:lineRule="auto"/>
              <w:jc w:val="both"/>
              <w:rPr>
                <w:rFonts w:ascii="Arial" w:hAnsi="Arial" w:cs="Arial"/>
              </w:rPr>
            </w:pPr>
            <w:r>
              <w:rPr>
                <w:rFonts w:ascii="Arial" w:hAnsi="Arial" w:cs="Arial"/>
              </w:rPr>
              <w:t>D</w:t>
            </w:r>
            <w:r w:rsidR="008C3364" w:rsidRPr="004E0837">
              <w:rPr>
                <w:rFonts w:ascii="Arial" w:hAnsi="Arial" w:cs="Arial"/>
              </w:rPr>
              <w:t xml:space="preserve">epartamento de Herpetología de la Sociedad de Ciencias </w:t>
            </w:r>
            <w:r>
              <w:rPr>
                <w:rFonts w:ascii="Arial" w:hAnsi="Arial" w:cs="Arial"/>
              </w:rPr>
              <w:t>Aranzadi.</w:t>
            </w:r>
          </w:p>
        </w:tc>
      </w:tr>
      <w:tr w:rsidR="004E0837" w:rsidRPr="004E0837" w14:paraId="5801D9C0" w14:textId="77777777" w:rsidTr="001A1482">
        <w:tc>
          <w:tcPr>
            <w:tcW w:w="1951" w:type="dxa"/>
            <w:shd w:val="clear" w:color="auto" w:fill="BFBFBF" w:themeFill="background1" w:themeFillShade="BF"/>
          </w:tcPr>
          <w:p w14:paraId="3E4368A4" w14:textId="77777777" w:rsidR="001A1482" w:rsidRDefault="001A1482" w:rsidP="008C3364">
            <w:pPr>
              <w:spacing w:line="360" w:lineRule="auto"/>
              <w:jc w:val="center"/>
              <w:rPr>
                <w:rFonts w:ascii="Arial" w:hAnsi="Arial" w:cs="Arial"/>
                <w:b/>
              </w:rPr>
            </w:pPr>
          </w:p>
          <w:p w14:paraId="3B121F9D" w14:textId="77777777" w:rsidR="003E2C9F" w:rsidRPr="004E0837" w:rsidRDefault="003E2C9F" w:rsidP="008C3364">
            <w:pPr>
              <w:spacing w:line="360" w:lineRule="auto"/>
              <w:jc w:val="center"/>
              <w:rPr>
                <w:rFonts w:ascii="Arial" w:hAnsi="Arial" w:cs="Arial"/>
                <w:b/>
              </w:rPr>
            </w:pPr>
            <w:r w:rsidRPr="004E0837">
              <w:rPr>
                <w:rFonts w:ascii="Arial" w:hAnsi="Arial" w:cs="Arial"/>
                <w:b/>
              </w:rPr>
              <w:t>Expertos o Instituciones que apoyan la propuesta</w:t>
            </w:r>
          </w:p>
        </w:tc>
        <w:tc>
          <w:tcPr>
            <w:tcW w:w="6769" w:type="dxa"/>
          </w:tcPr>
          <w:p w14:paraId="4153A12D" w14:textId="77777777" w:rsidR="001A1482" w:rsidRDefault="001A1482" w:rsidP="002E4CDC">
            <w:pPr>
              <w:spacing w:line="360" w:lineRule="auto"/>
              <w:jc w:val="both"/>
              <w:rPr>
                <w:rFonts w:ascii="Arial" w:hAnsi="Arial" w:cs="Arial"/>
              </w:rPr>
            </w:pPr>
          </w:p>
          <w:p w14:paraId="405B1EB4" w14:textId="77777777" w:rsidR="000773DC" w:rsidRDefault="001A1482" w:rsidP="002E4CDC">
            <w:pPr>
              <w:spacing w:line="360" w:lineRule="auto"/>
              <w:jc w:val="both"/>
              <w:rPr>
                <w:rFonts w:ascii="Arial" w:hAnsi="Arial" w:cs="Arial"/>
              </w:rPr>
            </w:pPr>
            <w:r>
              <w:rPr>
                <w:rFonts w:ascii="Arial" w:hAnsi="Arial" w:cs="Arial"/>
              </w:rPr>
              <w:t>D</w:t>
            </w:r>
            <w:r w:rsidR="008C3364" w:rsidRPr="004E0837">
              <w:rPr>
                <w:rFonts w:ascii="Arial" w:hAnsi="Arial" w:cs="Arial"/>
              </w:rPr>
              <w:t>epartamento de herpetología de la Sociedad de Ciencias</w:t>
            </w:r>
            <w:r w:rsidR="000773DC" w:rsidRPr="004E0837">
              <w:rPr>
                <w:rFonts w:ascii="Arial" w:hAnsi="Arial" w:cs="Arial"/>
              </w:rPr>
              <w:t xml:space="preserve"> Aranzadi</w:t>
            </w:r>
            <w:r>
              <w:rPr>
                <w:rFonts w:ascii="Arial" w:hAnsi="Arial" w:cs="Arial"/>
              </w:rPr>
              <w:t>.</w:t>
            </w:r>
          </w:p>
          <w:p w14:paraId="02B5B3B0" w14:textId="77777777" w:rsidR="001A1482" w:rsidRPr="004E0837" w:rsidRDefault="001A1482" w:rsidP="002E4CDC">
            <w:pPr>
              <w:spacing w:line="360" w:lineRule="auto"/>
              <w:jc w:val="both"/>
              <w:rPr>
                <w:rFonts w:ascii="Arial" w:hAnsi="Arial" w:cs="Arial"/>
              </w:rPr>
            </w:pPr>
          </w:p>
          <w:p w14:paraId="19EDEF4B" w14:textId="0D43C53E" w:rsidR="001A1482" w:rsidRPr="001A1482" w:rsidRDefault="008C3364" w:rsidP="00911621">
            <w:pPr>
              <w:spacing w:line="360" w:lineRule="auto"/>
              <w:jc w:val="both"/>
              <w:rPr>
                <w:rFonts w:ascii="Arial" w:hAnsi="Arial" w:cs="Arial"/>
              </w:rPr>
            </w:pPr>
            <w:r w:rsidRPr="004E0837">
              <w:rPr>
                <w:rFonts w:ascii="Arial" w:hAnsi="Arial" w:cs="Arial"/>
              </w:rPr>
              <w:t>Asociación Herpetológica Española</w:t>
            </w:r>
            <w:r w:rsidR="001A1482">
              <w:rPr>
                <w:rFonts w:ascii="Arial" w:hAnsi="Arial" w:cs="Arial"/>
              </w:rPr>
              <w:t>.</w:t>
            </w:r>
          </w:p>
        </w:tc>
      </w:tr>
      <w:tr w:rsidR="004E0837" w:rsidRPr="004E0837" w14:paraId="27F722B9" w14:textId="77777777" w:rsidTr="001A1482">
        <w:tc>
          <w:tcPr>
            <w:tcW w:w="1951" w:type="dxa"/>
            <w:shd w:val="clear" w:color="auto" w:fill="BFBFBF" w:themeFill="background1" w:themeFillShade="BF"/>
          </w:tcPr>
          <w:p w14:paraId="5A0B7BDB" w14:textId="77777777" w:rsidR="001A1482" w:rsidRDefault="001A1482" w:rsidP="008C3364">
            <w:pPr>
              <w:spacing w:line="360" w:lineRule="auto"/>
              <w:jc w:val="center"/>
              <w:rPr>
                <w:rFonts w:ascii="Arial" w:hAnsi="Arial" w:cs="Arial"/>
                <w:b/>
              </w:rPr>
            </w:pPr>
          </w:p>
          <w:p w14:paraId="059B69FD" w14:textId="77777777" w:rsidR="003E2C9F" w:rsidRPr="004E0837" w:rsidRDefault="003E2C9F" w:rsidP="008C3364">
            <w:pPr>
              <w:spacing w:line="360" w:lineRule="auto"/>
              <w:jc w:val="center"/>
              <w:rPr>
                <w:rFonts w:ascii="Arial" w:hAnsi="Arial" w:cs="Arial"/>
                <w:b/>
              </w:rPr>
            </w:pPr>
            <w:r w:rsidRPr="004E0837">
              <w:rPr>
                <w:rFonts w:ascii="Arial" w:hAnsi="Arial" w:cs="Arial"/>
                <w:b/>
              </w:rPr>
              <w:t>Breve resumen de la propuesta y los criterios que la avalan</w:t>
            </w:r>
          </w:p>
        </w:tc>
        <w:tc>
          <w:tcPr>
            <w:tcW w:w="6769" w:type="dxa"/>
          </w:tcPr>
          <w:p w14:paraId="363DB1D4" w14:textId="77777777" w:rsidR="001A1482" w:rsidRDefault="001A1482" w:rsidP="00911621">
            <w:pPr>
              <w:widowControl w:val="0"/>
              <w:autoSpaceDE w:val="0"/>
              <w:autoSpaceDN w:val="0"/>
              <w:adjustRightInd w:val="0"/>
              <w:spacing w:after="120" w:line="360" w:lineRule="auto"/>
              <w:jc w:val="both"/>
              <w:rPr>
                <w:rFonts w:ascii="Arial" w:hAnsi="Arial" w:cs="Arial"/>
              </w:rPr>
            </w:pPr>
          </w:p>
          <w:p w14:paraId="77DBDE37" w14:textId="1E76F06C" w:rsidR="001A1482" w:rsidRDefault="00776000" w:rsidP="00911621">
            <w:pPr>
              <w:widowControl w:val="0"/>
              <w:autoSpaceDE w:val="0"/>
              <w:autoSpaceDN w:val="0"/>
              <w:adjustRightInd w:val="0"/>
              <w:spacing w:after="120" w:line="360" w:lineRule="auto"/>
              <w:jc w:val="both"/>
              <w:rPr>
                <w:rFonts w:ascii="Arial" w:hAnsi="Arial" w:cs="Arial"/>
              </w:rPr>
            </w:pPr>
            <w:r>
              <w:rPr>
                <w:rFonts w:ascii="Arial" w:hAnsi="Arial" w:cs="Arial"/>
              </w:rPr>
              <w:t>El sapo corredor es una de las pocas especies de anfibios del País Vasco cuya situación en el CVEA ha variado</w:t>
            </w:r>
            <w:r w:rsidR="00443F83">
              <w:rPr>
                <w:rFonts w:ascii="Arial" w:hAnsi="Arial" w:cs="Arial"/>
              </w:rPr>
              <w:t xml:space="preserve"> en las sucesivas modificaciones. S</w:t>
            </w:r>
            <w:r>
              <w:rPr>
                <w:rFonts w:ascii="Arial" w:hAnsi="Arial" w:cs="Arial"/>
              </w:rPr>
              <w:t xml:space="preserve">e propone una nueva modificación más coherente con la información </w:t>
            </w:r>
            <w:r w:rsidR="001A1482">
              <w:rPr>
                <w:rFonts w:ascii="Arial" w:hAnsi="Arial" w:cs="Arial"/>
              </w:rPr>
              <w:t>disponible</w:t>
            </w:r>
            <w:r>
              <w:rPr>
                <w:rFonts w:ascii="Arial" w:hAnsi="Arial" w:cs="Arial"/>
              </w:rPr>
              <w:t xml:space="preserve">, dejando </w:t>
            </w:r>
            <w:r w:rsidR="00443F83">
              <w:rPr>
                <w:rFonts w:ascii="Arial" w:hAnsi="Arial" w:cs="Arial"/>
              </w:rPr>
              <w:t>fuera del catálogo</w:t>
            </w:r>
            <w:r>
              <w:rPr>
                <w:rFonts w:ascii="Arial" w:hAnsi="Arial" w:cs="Arial"/>
              </w:rPr>
              <w:t xml:space="preserve"> las poblaciones alavesas</w:t>
            </w:r>
            <w:r w:rsidR="001A1482">
              <w:rPr>
                <w:rFonts w:ascii="Arial" w:hAnsi="Arial" w:cs="Arial"/>
              </w:rPr>
              <w:t>,</w:t>
            </w:r>
            <w:r>
              <w:rPr>
                <w:rFonts w:ascii="Arial" w:hAnsi="Arial" w:cs="Arial"/>
              </w:rPr>
              <w:t xml:space="preserve"> que presentan un área de distribución co</w:t>
            </w:r>
            <w:r w:rsidR="001A1482">
              <w:rPr>
                <w:rFonts w:ascii="Arial" w:hAnsi="Arial" w:cs="Arial"/>
              </w:rPr>
              <w:t>ntinua</w:t>
            </w:r>
            <w:r>
              <w:rPr>
                <w:rFonts w:ascii="Arial" w:hAnsi="Arial" w:cs="Arial"/>
              </w:rPr>
              <w:t xml:space="preserve"> y </w:t>
            </w:r>
            <w:r w:rsidR="00443F83">
              <w:rPr>
                <w:rFonts w:ascii="Arial" w:hAnsi="Arial" w:cs="Arial"/>
              </w:rPr>
              <w:t xml:space="preserve">sin </w:t>
            </w:r>
            <w:r>
              <w:rPr>
                <w:rFonts w:ascii="Arial" w:hAnsi="Arial" w:cs="Arial"/>
              </w:rPr>
              <w:t>aparente</w:t>
            </w:r>
            <w:r w:rsidR="00443F83">
              <w:rPr>
                <w:rFonts w:ascii="Arial" w:hAnsi="Arial" w:cs="Arial"/>
              </w:rPr>
              <w:t xml:space="preserve">s amenazas, </w:t>
            </w:r>
            <w:r w:rsidR="001A1482">
              <w:rPr>
                <w:rFonts w:ascii="Arial" w:hAnsi="Arial" w:cs="Arial"/>
              </w:rPr>
              <w:t xml:space="preserve">pero elevando a la categoría de </w:t>
            </w:r>
            <w:r w:rsidR="001A1482" w:rsidRPr="001A1482">
              <w:rPr>
                <w:rFonts w:ascii="Arial" w:hAnsi="Arial" w:cs="Arial"/>
                <w:b/>
              </w:rPr>
              <w:t>EN PELIGRO</w:t>
            </w:r>
            <w:r w:rsidR="00895964">
              <w:rPr>
                <w:rFonts w:ascii="Arial" w:hAnsi="Arial" w:cs="Arial"/>
                <w:b/>
              </w:rPr>
              <w:t xml:space="preserve"> DE EXTINCIÓN</w:t>
            </w:r>
            <w:r w:rsidR="001A1482">
              <w:rPr>
                <w:rFonts w:ascii="Arial" w:hAnsi="Arial" w:cs="Arial"/>
              </w:rPr>
              <w:t xml:space="preserve"> a</w:t>
            </w:r>
            <w:r w:rsidR="00443F83">
              <w:rPr>
                <w:rFonts w:ascii="Arial" w:hAnsi="Arial" w:cs="Arial"/>
              </w:rPr>
              <w:t xml:space="preserve"> las dos poblaciones costeras </w:t>
            </w:r>
            <w:r w:rsidR="00F16E89">
              <w:rPr>
                <w:rFonts w:ascii="Arial" w:hAnsi="Arial" w:cs="Arial"/>
              </w:rPr>
              <w:t>actualmente conocidas</w:t>
            </w:r>
            <w:r w:rsidR="001A1482">
              <w:rPr>
                <w:rFonts w:ascii="Arial" w:hAnsi="Arial" w:cs="Arial"/>
              </w:rPr>
              <w:t>:</w:t>
            </w:r>
            <w:r w:rsidR="00443F83">
              <w:rPr>
                <w:rFonts w:ascii="Arial" w:hAnsi="Arial" w:cs="Arial"/>
              </w:rPr>
              <w:t xml:space="preserve"> la que se asienta en el área de Txingudi (Irun y Hondarribia, Gipuzkoa) y la del arenal de </w:t>
            </w:r>
            <w:r w:rsidR="00F16E89">
              <w:rPr>
                <w:rFonts w:ascii="Arial" w:hAnsi="Arial" w:cs="Arial"/>
              </w:rPr>
              <w:t xml:space="preserve">Gorrondatxe </w:t>
            </w:r>
            <w:r w:rsidR="00443F83">
              <w:rPr>
                <w:rFonts w:ascii="Arial" w:hAnsi="Arial" w:cs="Arial"/>
              </w:rPr>
              <w:t>y alrededores (Getxo-Sopela, Bizkaia</w:t>
            </w:r>
            <w:r w:rsidR="001A1482">
              <w:rPr>
                <w:rFonts w:ascii="Arial" w:hAnsi="Arial" w:cs="Arial"/>
              </w:rPr>
              <w:t>)</w:t>
            </w:r>
            <w:r w:rsidR="00443F83">
              <w:rPr>
                <w:rFonts w:ascii="Arial" w:hAnsi="Arial" w:cs="Arial"/>
              </w:rPr>
              <w:t xml:space="preserve">. </w:t>
            </w:r>
          </w:p>
          <w:p w14:paraId="48E8D9C4" w14:textId="67B17A12" w:rsidR="003E2C9F" w:rsidRPr="004E0837" w:rsidRDefault="00443F83" w:rsidP="00911621">
            <w:pPr>
              <w:widowControl w:val="0"/>
              <w:autoSpaceDE w:val="0"/>
              <w:autoSpaceDN w:val="0"/>
              <w:adjustRightInd w:val="0"/>
              <w:spacing w:after="120" w:line="360" w:lineRule="auto"/>
              <w:jc w:val="both"/>
              <w:rPr>
                <w:rFonts w:ascii="Arial" w:hAnsi="Arial" w:cs="Arial"/>
              </w:rPr>
            </w:pPr>
            <w:r>
              <w:rPr>
                <w:rFonts w:ascii="Arial" w:hAnsi="Arial" w:cs="Arial"/>
              </w:rPr>
              <w:t>A</w:t>
            </w:r>
            <w:r w:rsidR="001A1482">
              <w:rPr>
                <w:rFonts w:ascii="Arial" w:hAnsi="Arial" w:cs="Arial"/>
              </w:rPr>
              <w:t xml:space="preserve">mbas poblaciones </w:t>
            </w:r>
            <w:r w:rsidR="00F16E89">
              <w:rPr>
                <w:rFonts w:ascii="Arial" w:hAnsi="Arial" w:cs="Arial"/>
              </w:rPr>
              <w:t xml:space="preserve">costeras </w:t>
            </w:r>
            <w:r w:rsidR="001A1482">
              <w:rPr>
                <w:rFonts w:ascii="Arial" w:hAnsi="Arial" w:cs="Arial"/>
              </w:rPr>
              <w:t>vienen siendo objeto de programas de seguimiento</w:t>
            </w:r>
            <w:r>
              <w:rPr>
                <w:rFonts w:ascii="Arial" w:hAnsi="Arial" w:cs="Arial"/>
              </w:rPr>
              <w:t xml:space="preserve"> por </w:t>
            </w:r>
            <w:r w:rsidR="001A1482">
              <w:rPr>
                <w:rFonts w:ascii="Arial" w:hAnsi="Arial" w:cs="Arial"/>
              </w:rPr>
              <w:t>parte de la Sociedad de Ciencias</w:t>
            </w:r>
            <w:r>
              <w:rPr>
                <w:rFonts w:ascii="Arial" w:hAnsi="Arial" w:cs="Arial"/>
              </w:rPr>
              <w:t xml:space="preserve"> Aranzadi desde hace casi 15 años,</w:t>
            </w:r>
            <w:r w:rsidR="001A1482">
              <w:rPr>
                <w:rFonts w:ascii="Arial" w:hAnsi="Arial" w:cs="Arial"/>
              </w:rPr>
              <w:t xml:space="preserve"> por lo que se dispone</w:t>
            </w:r>
            <w:r>
              <w:rPr>
                <w:rFonts w:ascii="Arial" w:hAnsi="Arial" w:cs="Arial"/>
              </w:rPr>
              <w:t xml:space="preserve"> de datos históric</w:t>
            </w:r>
            <w:r w:rsidR="001A1482">
              <w:rPr>
                <w:rFonts w:ascii="Arial" w:hAnsi="Arial" w:cs="Arial"/>
              </w:rPr>
              <w:t xml:space="preserve">os y recientes </w:t>
            </w:r>
            <w:r>
              <w:rPr>
                <w:rFonts w:ascii="Arial" w:hAnsi="Arial" w:cs="Arial"/>
              </w:rPr>
              <w:t>para conocer su</w:t>
            </w:r>
            <w:r w:rsidR="00F16E89">
              <w:rPr>
                <w:rFonts w:ascii="Arial" w:hAnsi="Arial" w:cs="Arial"/>
              </w:rPr>
              <w:t>s</w:t>
            </w:r>
            <w:r>
              <w:rPr>
                <w:rFonts w:ascii="Arial" w:hAnsi="Arial" w:cs="Arial"/>
              </w:rPr>
              <w:t xml:space="preserve"> área</w:t>
            </w:r>
            <w:r w:rsidR="00F16E89">
              <w:rPr>
                <w:rFonts w:ascii="Arial" w:hAnsi="Arial" w:cs="Arial"/>
              </w:rPr>
              <w:t>s</w:t>
            </w:r>
            <w:r>
              <w:rPr>
                <w:rFonts w:ascii="Arial" w:hAnsi="Arial" w:cs="Arial"/>
              </w:rPr>
              <w:t xml:space="preserve"> de di</w:t>
            </w:r>
            <w:r w:rsidR="001A1482">
              <w:rPr>
                <w:rFonts w:ascii="Arial" w:hAnsi="Arial" w:cs="Arial"/>
              </w:rPr>
              <w:t>stribución y tamaño</w:t>
            </w:r>
            <w:r w:rsidR="00F16E89">
              <w:rPr>
                <w:rFonts w:ascii="Arial" w:hAnsi="Arial" w:cs="Arial"/>
              </w:rPr>
              <w:t>s</w:t>
            </w:r>
            <w:r w:rsidR="001A1482">
              <w:rPr>
                <w:rFonts w:ascii="Arial" w:hAnsi="Arial" w:cs="Arial"/>
              </w:rPr>
              <w:t xml:space="preserve"> poblacional</w:t>
            </w:r>
            <w:r w:rsidR="00F16E89">
              <w:rPr>
                <w:rFonts w:ascii="Arial" w:hAnsi="Arial" w:cs="Arial"/>
              </w:rPr>
              <w:t>es</w:t>
            </w:r>
            <w:r w:rsidR="001A1482">
              <w:rPr>
                <w:rFonts w:ascii="Arial" w:hAnsi="Arial" w:cs="Arial"/>
              </w:rPr>
              <w:t xml:space="preserve">. En ambos casos </w:t>
            </w:r>
            <w:r w:rsidR="00F16E89">
              <w:rPr>
                <w:rFonts w:ascii="Arial" w:hAnsi="Arial" w:cs="Arial"/>
              </w:rPr>
              <w:t>se ha constatado un</w:t>
            </w:r>
            <w:r w:rsidR="001A1482">
              <w:rPr>
                <w:rFonts w:ascii="Arial" w:hAnsi="Arial" w:cs="Arial"/>
              </w:rPr>
              <w:t xml:space="preserve"> declive de la</w:t>
            </w:r>
            <w:r w:rsidR="00F16E89">
              <w:rPr>
                <w:rFonts w:ascii="Arial" w:hAnsi="Arial" w:cs="Arial"/>
              </w:rPr>
              <w:t>s poblaciones</w:t>
            </w:r>
            <w:r w:rsidR="00895964">
              <w:rPr>
                <w:rFonts w:ascii="Arial" w:hAnsi="Arial" w:cs="Arial"/>
              </w:rPr>
              <w:t>, tanto el área de distribución como tamaño poblacional</w:t>
            </w:r>
            <w:r>
              <w:rPr>
                <w:rFonts w:ascii="Arial" w:hAnsi="Arial" w:cs="Arial"/>
              </w:rPr>
              <w:t>.</w:t>
            </w:r>
          </w:p>
        </w:tc>
      </w:tr>
      <w:tr w:rsidR="004E0837" w:rsidRPr="004E0837" w14:paraId="6FE6673F" w14:textId="77777777" w:rsidTr="001A1482">
        <w:tc>
          <w:tcPr>
            <w:tcW w:w="1951" w:type="dxa"/>
            <w:shd w:val="clear" w:color="auto" w:fill="BFBFBF" w:themeFill="background1" w:themeFillShade="BF"/>
          </w:tcPr>
          <w:p w14:paraId="4EFBE9F9" w14:textId="77777777" w:rsidR="009A6413" w:rsidRPr="004E0837" w:rsidRDefault="009A6413" w:rsidP="008C3364">
            <w:pPr>
              <w:spacing w:line="360" w:lineRule="auto"/>
              <w:jc w:val="center"/>
              <w:rPr>
                <w:rFonts w:ascii="Arial" w:hAnsi="Arial" w:cs="Arial"/>
                <w:b/>
              </w:rPr>
            </w:pPr>
            <w:r w:rsidRPr="004E0837">
              <w:rPr>
                <w:rFonts w:ascii="Arial" w:hAnsi="Arial" w:cs="Arial"/>
                <w:b/>
              </w:rPr>
              <w:t>Aplicación de los Criterios Orientadores de catalogación (resolución 6 marzo 2017) (BOE nº 65, 17/03/2017)</w:t>
            </w:r>
          </w:p>
        </w:tc>
        <w:tc>
          <w:tcPr>
            <w:tcW w:w="6769" w:type="dxa"/>
          </w:tcPr>
          <w:p w14:paraId="314BDC56" w14:textId="77777777" w:rsidR="00815DC1" w:rsidRDefault="00815DC1" w:rsidP="002D0A26">
            <w:pPr>
              <w:spacing w:line="360" w:lineRule="auto"/>
              <w:jc w:val="both"/>
              <w:rPr>
                <w:rFonts w:ascii="Arial" w:hAnsi="Arial" w:cs="Arial"/>
                <w:b/>
              </w:rPr>
            </w:pPr>
          </w:p>
          <w:p w14:paraId="465091C7" w14:textId="0506D656" w:rsidR="009A6413" w:rsidRDefault="00815DC1" w:rsidP="002D0A26">
            <w:pPr>
              <w:spacing w:line="360" w:lineRule="auto"/>
              <w:jc w:val="both"/>
              <w:rPr>
                <w:rFonts w:ascii="Arial" w:hAnsi="Arial" w:cs="Arial"/>
              </w:rPr>
            </w:pPr>
            <w:r w:rsidRPr="00815DC1">
              <w:rPr>
                <w:rFonts w:ascii="Arial" w:hAnsi="Arial" w:cs="Arial"/>
              </w:rPr>
              <w:t>Se propone incluir</w:t>
            </w:r>
            <w:r>
              <w:rPr>
                <w:rFonts w:ascii="Arial" w:hAnsi="Arial" w:cs="Arial"/>
              </w:rPr>
              <w:t xml:space="preserve"> las poblaciones costeras de</w:t>
            </w:r>
            <w:r w:rsidRPr="00815DC1">
              <w:rPr>
                <w:rFonts w:ascii="Arial" w:hAnsi="Arial" w:cs="Arial"/>
              </w:rPr>
              <w:t xml:space="preserve"> la especie </w:t>
            </w:r>
            <w:r w:rsidRPr="00815DC1">
              <w:rPr>
                <w:rFonts w:ascii="Arial" w:hAnsi="Arial" w:cs="Arial"/>
                <w:i/>
              </w:rPr>
              <w:t>Epidalea calamita</w:t>
            </w:r>
            <w:r w:rsidRPr="00815DC1">
              <w:rPr>
                <w:rFonts w:ascii="Arial" w:hAnsi="Arial" w:cs="Arial"/>
              </w:rPr>
              <w:t xml:space="preserve"> en la categoría de</w:t>
            </w:r>
            <w:r w:rsidRPr="00815DC1">
              <w:rPr>
                <w:rFonts w:ascii="Arial" w:hAnsi="Arial" w:cs="Arial"/>
                <w:b/>
              </w:rPr>
              <w:t xml:space="preserve"> EN PELIGRO</w:t>
            </w:r>
            <w:r w:rsidR="00895964">
              <w:rPr>
                <w:rFonts w:ascii="Arial" w:hAnsi="Arial" w:cs="Arial"/>
                <w:b/>
              </w:rPr>
              <w:t xml:space="preserve"> DE EXTINCIÓN</w:t>
            </w:r>
            <w:r w:rsidRPr="00815DC1">
              <w:rPr>
                <w:rFonts w:ascii="Arial" w:hAnsi="Arial" w:cs="Arial"/>
                <w:b/>
              </w:rPr>
              <w:t xml:space="preserve"> </w:t>
            </w:r>
            <w:r w:rsidRPr="00815DC1">
              <w:rPr>
                <w:rFonts w:ascii="Arial" w:hAnsi="Arial" w:cs="Arial"/>
              </w:rPr>
              <w:t>(excluyendo del catálogo el resto de poblaciones de la CAPV)</w:t>
            </w:r>
            <w:r>
              <w:rPr>
                <w:rFonts w:ascii="Arial" w:hAnsi="Arial" w:cs="Arial"/>
                <w:b/>
              </w:rPr>
              <w:t xml:space="preserve"> </w:t>
            </w:r>
            <w:r w:rsidRPr="00815DC1">
              <w:rPr>
                <w:rFonts w:ascii="Arial" w:hAnsi="Arial" w:cs="Arial"/>
              </w:rPr>
              <w:t>ya que la mejor información disponible indica que se cumplen los siguientes criterios:</w:t>
            </w:r>
          </w:p>
          <w:p w14:paraId="1BF56486" w14:textId="77777777" w:rsidR="00391534" w:rsidRPr="00815DC1" w:rsidRDefault="00391534" w:rsidP="002D0A26">
            <w:pPr>
              <w:spacing w:line="360" w:lineRule="auto"/>
              <w:jc w:val="both"/>
              <w:rPr>
                <w:rFonts w:ascii="Arial" w:hAnsi="Arial" w:cs="Arial"/>
              </w:rPr>
            </w:pPr>
          </w:p>
          <w:p w14:paraId="301E2B5E" w14:textId="77777777" w:rsidR="00391534" w:rsidRDefault="00391534" w:rsidP="0051214D">
            <w:pPr>
              <w:spacing w:line="360" w:lineRule="auto"/>
              <w:jc w:val="both"/>
              <w:rPr>
                <w:rFonts w:ascii="Arial" w:hAnsi="Arial" w:cs="Arial"/>
              </w:rPr>
            </w:pPr>
            <w:r>
              <w:rPr>
                <w:rFonts w:ascii="Arial" w:hAnsi="Arial" w:cs="Arial"/>
                <w:b/>
              </w:rPr>
              <w:t>-</w:t>
            </w:r>
            <w:r>
              <w:rPr>
                <w:rFonts w:ascii="Arial" w:hAnsi="Arial" w:cs="Arial"/>
              </w:rPr>
              <w:t>Declive del tamaño poblacional, con</w:t>
            </w:r>
            <w:r w:rsidR="00815DC1" w:rsidRPr="00391534">
              <w:rPr>
                <w:rFonts w:ascii="Arial" w:hAnsi="Arial" w:cs="Arial"/>
              </w:rPr>
              <w:t xml:space="preserve"> </w:t>
            </w:r>
            <w:r w:rsidRPr="00391534">
              <w:rPr>
                <w:rFonts w:ascii="Arial" w:hAnsi="Arial" w:cs="Arial"/>
              </w:rPr>
              <w:t>u</w:t>
            </w:r>
            <w:r w:rsidR="00815DC1" w:rsidRPr="00391534">
              <w:rPr>
                <w:rFonts w:ascii="Arial" w:hAnsi="Arial" w:cs="Arial"/>
              </w:rPr>
              <w:t xml:space="preserve">na reducción en la población observada </w:t>
            </w:r>
            <w:r w:rsidRPr="00391534">
              <w:rPr>
                <w:rFonts w:ascii="Arial" w:hAnsi="Arial" w:cs="Arial"/>
              </w:rPr>
              <w:t>&gt;</w:t>
            </w:r>
            <w:r w:rsidR="00815DC1" w:rsidRPr="00391534">
              <w:rPr>
                <w:rFonts w:ascii="Arial" w:hAnsi="Arial" w:cs="Arial"/>
              </w:rPr>
              <w:t xml:space="preserve"> 70 % en los últimos 10 años</w:t>
            </w:r>
            <w:r>
              <w:rPr>
                <w:rFonts w:ascii="Arial" w:hAnsi="Arial" w:cs="Arial"/>
              </w:rPr>
              <w:t xml:space="preserve">, y reducción del </w:t>
            </w:r>
            <w:r w:rsidRPr="00391534">
              <w:rPr>
                <w:rFonts w:ascii="Arial" w:hAnsi="Arial" w:cs="Arial"/>
              </w:rPr>
              <w:t>área de ocupación ≥ 50 % dentro de los últimos 30 años</w:t>
            </w:r>
            <w:r>
              <w:rPr>
                <w:rFonts w:ascii="Arial" w:hAnsi="Arial" w:cs="Arial"/>
              </w:rPr>
              <w:t>. En ambos casos, sólo para las poblaciones costeras de la especie presentes en la CAPV.</w:t>
            </w:r>
          </w:p>
          <w:p w14:paraId="107281F4" w14:textId="77777777" w:rsidR="00391534" w:rsidRDefault="00391534" w:rsidP="0051214D">
            <w:pPr>
              <w:spacing w:line="360" w:lineRule="auto"/>
              <w:jc w:val="both"/>
              <w:rPr>
                <w:rFonts w:ascii="Arial" w:hAnsi="Arial" w:cs="Arial"/>
              </w:rPr>
            </w:pPr>
          </w:p>
          <w:p w14:paraId="13F02816" w14:textId="03508BF7" w:rsidR="0051214D" w:rsidRDefault="005C2919" w:rsidP="0051214D">
            <w:pPr>
              <w:spacing w:line="360" w:lineRule="auto"/>
              <w:jc w:val="both"/>
              <w:rPr>
                <w:rFonts w:ascii="Arial" w:hAnsi="Arial" w:cs="Arial"/>
              </w:rPr>
            </w:pPr>
            <w:r>
              <w:rPr>
                <w:rFonts w:ascii="Arial" w:hAnsi="Arial" w:cs="Arial"/>
              </w:rPr>
              <w:t>E</w:t>
            </w:r>
            <w:r w:rsidR="00391534" w:rsidRPr="00391534">
              <w:rPr>
                <w:rFonts w:ascii="Arial" w:hAnsi="Arial" w:cs="Arial"/>
              </w:rPr>
              <w:t>studios</w:t>
            </w:r>
            <w:r w:rsidR="0051214D" w:rsidRPr="00391534">
              <w:rPr>
                <w:rFonts w:ascii="Arial" w:hAnsi="Arial" w:cs="Arial"/>
              </w:rPr>
              <w:t xml:space="preserve"> realizados en dos espacios naturales protegidos de Álava (Izki y Valderejo) indican el declive de la especie (</w:t>
            </w:r>
            <w:r w:rsidR="0051214D" w:rsidRPr="00B776B9">
              <w:rPr>
                <w:rFonts w:ascii="Arial" w:hAnsi="Arial" w:cs="Arial"/>
                <w:smallCaps/>
              </w:rPr>
              <w:t>Gosá</w:t>
            </w:r>
            <w:r w:rsidR="0051214D" w:rsidRPr="00391534">
              <w:rPr>
                <w:rFonts w:ascii="Arial" w:hAnsi="Arial" w:cs="Arial"/>
              </w:rPr>
              <w:t xml:space="preserve"> </w:t>
            </w:r>
            <w:r w:rsidR="0051214D" w:rsidRPr="00B776B9">
              <w:rPr>
                <w:rFonts w:ascii="Arial" w:hAnsi="Arial" w:cs="Arial"/>
                <w:i/>
              </w:rPr>
              <w:t>et al</w:t>
            </w:r>
            <w:r w:rsidR="0051214D" w:rsidRPr="00391534">
              <w:rPr>
                <w:rFonts w:ascii="Arial" w:hAnsi="Arial" w:cs="Arial"/>
              </w:rPr>
              <w:t>., 2018), si bien ninguno de los enclaves son representativos de la situación general, dada la elevada presencia de masas forestales, y escasa presencia de espacios abiertos</w:t>
            </w:r>
            <w:r>
              <w:rPr>
                <w:rFonts w:ascii="Arial" w:hAnsi="Arial" w:cs="Arial"/>
              </w:rPr>
              <w:t>, que son su</w:t>
            </w:r>
            <w:r w:rsidR="0051214D" w:rsidRPr="00391534">
              <w:rPr>
                <w:rFonts w:ascii="Arial" w:hAnsi="Arial" w:cs="Arial"/>
              </w:rPr>
              <w:t xml:space="preserve"> hábitat propicio. No obstante, estudios realizados por investigadores del Instituto Alavés de la Naturaleza en enclaves propicios, como </w:t>
            </w:r>
            <w:r w:rsidR="00B74144">
              <w:rPr>
                <w:rFonts w:ascii="Arial" w:hAnsi="Arial" w:cs="Arial"/>
              </w:rPr>
              <w:t xml:space="preserve">la </w:t>
            </w:r>
            <w:r w:rsidR="0051214D" w:rsidRPr="00391534">
              <w:rPr>
                <w:rFonts w:ascii="Arial" w:hAnsi="Arial" w:cs="Arial"/>
              </w:rPr>
              <w:t>Rioja Alavesa, no denotan un declive en la especie</w:t>
            </w:r>
            <w:r w:rsidR="00B74144">
              <w:rPr>
                <w:rFonts w:ascii="Arial" w:hAnsi="Arial" w:cs="Arial"/>
              </w:rPr>
              <w:t xml:space="preserve"> </w:t>
            </w:r>
            <w:r w:rsidR="00B74144" w:rsidRPr="00391534">
              <w:rPr>
                <w:rFonts w:ascii="Arial" w:hAnsi="Arial" w:cs="Arial"/>
              </w:rPr>
              <w:t>(</w:t>
            </w:r>
            <w:r w:rsidR="00B74144" w:rsidRPr="00B776B9">
              <w:rPr>
                <w:rFonts w:ascii="Arial" w:hAnsi="Arial" w:cs="Arial"/>
                <w:smallCaps/>
              </w:rPr>
              <w:t>Tejado &amp; Potes, 2014</w:t>
            </w:r>
            <w:r w:rsidR="00B74144" w:rsidRPr="00391534">
              <w:rPr>
                <w:rFonts w:ascii="Arial" w:hAnsi="Arial" w:cs="Arial"/>
              </w:rPr>
              <w:t>)</w:t>
            </w:r>
            <w:r w:rsidR="0051214D" w:rsidRPr="00391534">
              <w:rPr>
                <w:rFonts w:ascii="Arial" w:hAnsi="Arial" w:cs="Arial"/>
              </w:rPr>
              <w:t>. En casi todos los encharcamientos evaluados en Álava en 2018 también pudo ser localizada (</w:t>
            </w:r>
            <w:r w:rsidR="0051214D" w:rsidRPr="00B776B9">
              <w:rPr>
                <w:rFonts w:ascii="Arial" w:hAnsi="Arial" w:cs="Arial"/>
                <w:smallCaps/>
              </w:rPr>
              <w:t>Cabido</w:t>
            </w:r>
            <w:r w:rsidR="0051214D" w:rsidRPr="00391534">
              <w:rPr>
                <w:rFonts w:ascii="Arial" w:hAnsi="Arial" w:cs="Arial"/>
              </w:rPr>
              <w:t xml:space="preserve"> </w:t>
            </w:r>
            <w:r w:rsidR="0051214D" w:rsidRPr="00B776B9">
              <w:rPr>
                <w:rFonts w:ascii="Arial" w:hAnsi="Arial" w:cs="Arial"/>
                <w:i/>
              </w:rPr>
              <w:t>et al</w:t>
            </w:r>
            <w:r w:rsidR="0051214D" w:rsidRPr="00391534">
              <w:rPr>
                <w:rFonts w:ascii="Arial" w:hAnsi="Arial" w:cs="Arial"/>
              </w:rPr>
              <w:t xml:space="preserve">., 2019). Por lo tanto, en la zona sur de su área de distribución del País Vasco, la especie no parece haber sufrido declive, </w:t>
            </w:r>
            <w:r w:rsidR="00B74144">
              <w:rPr>
                <w:rFonts w:ascii="Arial" w:hAnsi="Arial" w:cs="Arial"/>
              </w:rPr>
              <w:t>al menos no de manera generalizada</w:t>
            </w:r>
            <w:r w:rsidR="0051214D" w:rsidRPr="00391534">
              <w:rPr>
                <w:rFonts w:ascii="Arial" w:hAnsi="Arial" w:cs="Arial"/>
              </w:rPr>
              <w:t>.</w:t>
            </w:r>
          </w:p>
          <w:p w14:paraId="7F3EA18A" w14:textId="77777777" w:rsidR="00391534" w:rsidRPr="00391534" w:rsidRDefault="00391534" w:rsidP="0051214D">
            <w:pPr>
              <w:spacing w:line="360" w:lineRule="auto"/>
              <w:jc w:val="both"/>
              <w:rPr>
                <w:rFonts w:ascii="Arial" w:hAnsi="Arial" w:cs="Arial"/>
              </w:rPr>
            </w:pPr>
          </w:p>
          <w:p w14:paraId="20C82B43" w14:textId="3166F258" w:rsidR="0051214D" w:rsidRDefault="0051214D" w:rsidP="0051214D">
            <w:pPr>
              <w:spacing w:line="360" w:lineRule="auto"/>
              <w:jc w:val="both"/>
              <w:rPr>
                <w:rFonts w:ascii="Arial" w:hAnsi="Arial" w:cs="Arial"/>
              </w:rPr>
            </w:pPr>
            <w:r w:rsidRPr="00391534">
              <w:rPr>
                <w:rFonts w:ascii="Arial" w:hAnsi="Arial" w:cs="Arial"/>
              </w:rPr>
              <w:t xml:space="preserve">En cambio, la situación difiere en la costa vasca. De las cuatro poblaciones </w:t>
            </w:r>
            <w:r w:rsidR="00B74144">
              <w:rPr>
                <w:rFonts w:ascii="Arial" w:hAnsi="Arial" w:cs="Arial"/>
              </w:rPr>
              <w:t>de las que existen referencias</w:t>
            </w:r>
            <w:r w:rsidRPr="00391534">
              <w:rPr>
                <w:rFonts w:ascii="Arial" w:hAnsi="Arial" w:cs="Arial"/>
              </w:rPr>
              <w:t>, dos se declaran extintas, ambas en Bizkaia (</w:t>
            </w:r>
            <w:r w:rsidRPr="00B776B9">
              <w:rPr>
                <w:rFonts w:ascii="Arial" w:hAnsi="Arial" w:cs="Arial"/>
                <w:smallCaps/>
              </w:rPr>
              <w:t>Miró</w:t>
            </w:r>
            <w:r w:rsidRPr="00391534">
              <w:rPr>
                <w:rFonts w:ascii="Arial" w:hAnsi="Arial" w:cs="Arial"/>
              </w:rPr>
              <w:t xml:space="preserve">, 1976; </w:t>
            </w:r>
            <w:r w:rsidRPr="00B776B9">
              <w:rPr>
                <w:rFonts w:ascii="Arial" w:hAnsi="Arial" w:cs="Arial"/>
                <w:smallCaps/>
              </w:rPr>
              <w:t>Bea</w:t>
            </w:r>
            <w:r w:rsidRPr="00391534">
              <w:rPr>
                <w:rFonts w:ascii="Arial" w:hAnsi="Arial" w:cs="Arial"/>
              </w:rPr>
              <w:t>, 1985</w:t>
            </w:r>
            <w:r w:rsidR="00895964">
              <w:rPr>
                <w:rFonts w:ascii="Arial" w:hAnsi="Arial" w:cs="Arial"/>
              </w:rPr>
              <w:t xml:space="preserve">; </w:t>
            </w:r>
            <w:r w:rsidR="00895964" w:rsidRPr="00B776B9">
              <w:rPr>
                <w:rFonts w:ascii="Arial" w:hAnsi="Arial" w:cs="Arial"/>
                <w:smallCaps/>
              </w:rPr>
              <w:t>Koskorotza</w:t>
            </w:r>
            <w:r w:rsidR="00895964">
              <w:rPr>
                <w:rFonts w:ascii="Arial" w:hAnsi="Arial" w:cs="Arial"/>
              </w:rPr>
              <w:t>, 2016</w:t>
            </w:r>
            <w:r w:rsidRPr="00391534">
              <w:rPr>
                <w:rFonts w:ascii="Arial" w:hAnsi="Arial" w:cs="Arial"/>
              </w:rPr>
              <w:t>)</w:t>
            </w:r>
            <w:r w:rsidR="00CA7A3E">
              <w:rPr>
                <w:rFonts w:ascii="Arial" w:hAnsi="Arial" w:cs="Arial"/>
              </w:rPr>
              <w:t>; la del</w:t>
            </w:r>
            <w:r w:rsidRPr="00391534">
              <w:rPr>
                <w:rFonts w:ascii="Arial" w:hAnsi="Arial" w:cs="Arial"/>
              </w:rPr>
              <w:t xml:space="preserve"> barrio de Mendexa (Lekeitio) y </w:t>
            </w:r>
            <w:r w:rsidR="00CA7A3E">
              <w:rPr>
                <w:rFonts w:ascii="Arial" w:hAnsi="Arial" w:cs="Arial"/>
              </w:rPr>
              <w:t xml:space="preserve">la del </w:t>
            </w:r>
            <w:r w:rsidRPr="00391534">
              <w:rPr>
                <w:rFonts w:ascii="Arial" w:hAnsi="Arial" w:cs="Arial"/>
              </w:rPr>
              <w:t>municipio de Erandio (</w:t>
            </w:r>
            <w:r w:rsidRPr="00B776B9">
              <w:rPr>
                <w:rFonts w:ascii="Arial" w:hAnsi="Arial" w:cs="Arial"/>
                <w:smallCaps/>
              </w:rPr>
              <w:t>figura 1</w:t>
            </w:r>
            <w:r w:rsidRPr="00391534">
              <w:rPr>
                <w:rFonts w:ascii="Arial" w:hAnsi="Arial" w:cs="Arial"/>
              </w:rPr>
              <w:t>). Ambas citas se recogen en el A</w:t>
            </w:r>
            <w:r w:rsidR="009C2030">
              <w:rPr>
                <w:rFonts w:ascii="Arial" w:hAnsi="Arial" w:cs="Arial"/>
              </w:rPr>
              <w:t>tl</w:t>
            </w:r>
            <w:r w:rsidRPr="00391534">
              <w:rPr>
                <w:rFonts w:ascii="Arial" w:hAnsi="Arial" w:cs="Arial"/>
              </w:rPr>
              <w:t>as de los Vertebrados Continentales de Álava, Vizcaya y Guipúzcoa</w:t>
            </w:r>
            <w:r w:rsidR="009C2030">
              <w:rPr>
                <w:rFonts w:ascii="Arial" w:hAnsi="Arial" w:cs="Arial"/>
              </w:rPr>
              <w:t xml:space="preserve"> (</w:t>
            </w:r>
            <w:r w:rsidR="00895964" w:rsidRPr="00B776B9">
              <w:rPr>
                <w:rFonts w:ascii="Arial" w:hAnsi="Arial" w:cs="Arial"/>
                <w:smallCaps/>
              </w:rPr>
              <w:t>Bea, 1985</w:t>
            </w:r>
            <w:r w:rsidR="009C2030">
              <w:rPr>
                <w:rFonts w:ascii="Arial" w:hAnsi="Arial" w:cs="Arial"/>
              </w:rPr>
              <w:t>)</w:t>
            </w:r>
            <w:r w:rsidR="00CA7A3E">
              <w:rPr>
                <w:rFonts w:ascii="Arial" w:hAnsi="Arial" w:cs="Arial"/>
              </w:rPr>
              <w:t>.</w:t>
            </w:r>
            <w:r w:rsidRPr="00391534">
              <w:rPr>
                <w:rFonts w:ascii="Arial" w:hAnsi="Arial" w:cs="Arial"/>
              </w:rPr>
              <w:t xml:space="preserve"> </w:t>
            </w:r>
            <w:r w:rsidR="00CA7A3E">
              <w:rPr>
                <w:rFonts w:ascii="Arial" w:hAnsi="Arial" w:cs="Arial"/>
              </w:rPr>
              <w:t>A</w:t>
            </w:r>
            <w:r w:rsidRPr="00391534">
              <w:rPr>
                <w:rFonts w:ascii="Arial" w:hAnsi="Arial" w:cs="Arial"/>
              </w:rPr>
              <w:t xml:space="preserve"> posteriori se han realizado prospecciones en ambas zonas </w:t>
            </w:r>
            <w:r w:rsidR="00383B3B">
              <w:rPr>
                <w:rFonts w:ascii="Arial" w:hAnsi="Arial" w:cs="Arial"/>
              </w:rPr>
              <w:t>y</w:t>
            </w:r>
            <w:r w:rsidRPr="00391534">
              <w:rPr>
                <w:rFonts w:ascii="Arial" w:hAnsi="Arial" w:cs="Arial"/>
              </w:rPr>
              <w:t xml:space="preserve"> en </w:t>
            </w:r>
            <w:r w:rsidR="00383B3B">
              <w:rPr>
                <w:rFonts w:ascii="Arial" w:hAnsi="Arial" w:cs="Arial"/>
              </w:rPr>
              <w:t>otras</w:t>
            </w:r>
            <w:r w:rsidRPr="00391534">
              <w:rPr>
                <w:rFonts w:ascii="Arial" w:hAnsi="Arial" w:cs="Arial"/>
              </w:rPr>
              <w:t xml:space="preserve"> potenciales para la presencia de la especie en la costa</w:t>
            </w:r>
            <w:r w:rsidR="00383B3B">
              <w:rPr>
                <w:rFonts w:ascii="Arial" w:hAnsi="Arial" w:cs="Arial"/>
              </w:rPr>
              <w:t xml:space="preserve"> de</w:t>
            </w:r>
            <w:r w:rsidRPr="00391534">
              <w:rPr>
                <w:rFonts w:ascii="Arial" w:hAnsi="Arial" w:cs="Arial"/>
              </w:rPr>
              <w:t xml:space="preserve"> Bizkaia sin resultados positivos (</w:t>
            </w:r>
            <w:r w:rsidRPr="00B776B9">
              <w:rPr>
                <w:rFonts w:ascii="Arial" w:hAnsi="Arial" w:cs="Arial"/>
                <w:smallCaps/>
              </w:rPr>
              <w:t>San Sebastián</w:t>
            </w:r>
            <w:r w:rsidRPr="00391534">
              <w:rPr>
                <w:rFonts w:ascii="Arial" w:hAnsi="Arial" w:cs="Arial"/>
              </w:rPr>
              <w:t xml:space="preserve"> </w:t>
            </w:r>
            <w:r w:rsidRPr="00B776B9">
              <w:rPr>
                <w:rFonts w:ascii="Arial" w:hAnsi="Arial" w:cs="Arial"/>
                <w:i/>
              </w:rPr>
              <w:t>et al</w:t>
            </w:r>
            <w:r w:rsidRPr="00391534">
              <w:rPr>
                <w:rFonts w:ascii="Arial" w:hAnsi="Arial" w:cs="Arial"/>
              </w:rPr>
              <w:t xml:space="preserve">., 2007; </w:t>
            </w:r>
            <w:r w:rsidRPr="00B776B9">
              <w:rPr>
                <w:rFonts w:ascii="Arial" w:hAnsi="Arial" w:cs="Arial"/>
                <w:smallCaps/>
              </w:rPr>
              <w:t>Koskorrotza, 2016</w:t>
            </w:r>
            <w:r w:rsidRPr="00391534">
              <w:rPr>
                <w:rFonts w:ascii="Arial" w:hAnsi="Arial" w:cs="Arial"/>
              </w:rPr>
              <w:t xml:space="preserve">). </w:t>
            </w:r>
            <w:r w:rsidR="00115808">
              <w:rPr>
                <w:rFonts w:ascii="Arial" w:hAnsi="Arial" w:cs="Arial"/>
              </w:rPr>
              <w:t>Analizando el conjunto de la mitad</w:t>
            </w:r>
            <w:r w:rsidRPr="00391534">
              <w:rPr>
                <w:rFonts w:ascii="Arial" w:hAnsi="Arial" w:cs="Arial"/>
              </w:rPr>
              <w:t xml:space="preserve"> oriental de la costa cantábrica (oeste de Asturias, Cantabria, Bizkaia y Gipuzkoa) habrían desaparecido dos tercios de las poblaciones de las que se disp</w:t>
            </w:r>
            <w:r w:rsidR="00F07D6B">
              <w:rPr>
                <w:rFonts w:ascii="Arial" w:hAnsi="Arial" w:cs="Arial"/>
              </w:rPr>
              <w:t>onía</w:t>
            </w:r>
            <w:r w:rsidRPr="00391534">
              <w:rPr>
                <w:rFonts w:ascii="Arial" w:hAnsi="Arial" w:cs="Arial"/>
              </w:rPr>
              <w:t xml:space="preserve"> de alguna referencia en los últimos 35 años (</w:t>
            </w:r>
            <w:r w:rsidRPr="00B776B9">
              <w:rPr>
                <w:rFonts w:ascii="Arial" w:hAnsi="Arial" w:cs="Arial"/>
                <w:smallCaps/>
              </w:rPr>
              <w:t>Garin Barrio</w:t>
            </w:r>
            <w:r w:rsidRPr="00391534">
              <w:rPr>
                <w:rFonts w:ascii="Arial" w:hAnsi="Arial" w:cs="Arial"/>
              </w:rPr>
              <w:t xml:space="preserve"> </w:t>
            </w:r>
            <w:r w:rsidRPr="00B776B9">
              <w:rPr>
                <w:rFonts w:ascii="Arial" w:hAnsi="Arial" w:cs="Arial"/>
                <w:i/>
              </w:rPr>
              <w:t>et al</w:t>
            </w:r>
            <w:r w:rsidRPr="00391534">
              <w:rPr>
                <w:rFonts w:ascii="Arial" w:hAnsi="Arial" w:cs="Arial"/>
              </w:rPr>
              <w:t xml:space="preserve">., 2011). Las únicas dos poblaciones de sapo corredor que han subsistido en la costa vasca han quedado aisladas en enclaves alejados entre sí. Una está localizada en el entorno de la bahía de Txingudi (Irun-Hondarribia, Gipuzkoa), y la otra en la playa de Gorrondatxe y las zonas adyacentes (Getxo-Sopelana, Bizkaia; </w:t>
            </w:r>
            <w:r w:rsidRPr="00B776B9">
              <w:rPr>
                <w:rFonts w:ascii="Arial" w:hAnsi="Arial" w:cs="Arial"/>
                <w:smallCaps/>
              </w:rPr>
              <w:t>figura 1</w:t>
            </w:r>
            <w:r w:rsidRPr="00391534">
              <w:rPr>
                <w:rFonts w:ascii="Arial" w:hAnsi="Arial" w:cs="Arial"/>
              </w:rPr>
              <w:t xml:space="preserve">). </w:t>
            </w:r>
            <w:r w:rsidR="007B3344">
              <w:rPr>
                <w:rFonts w:ascii="Arial" w:hAnsi="Arial" w:cs="Arial"/>
                <w:szCs w:val="28"/>
              </w:rPr>
              <w:t>Erandio se encuentra a menos de 10 km de distancia</w:t>
            </w:r>
            <w:r w:rsidR="007B3344" w:rsidRPr="00914B3B">
              <w:rPr>
                <w:rFonts w:ascii="Arial" w:hAnsi="Arial" w:cs="Arial"/>
                <w:szCs w:val="28"/>
              </w:rPr>
              <w:t xml:space="preserve"> </w:t>
            </w:r>
            <w:r w:rsidR="007B3344">
              <w:rPr>
                <w:rFonts w:ascii="Arial" w:hAnsi="Arial" w:cs="Arial"/>
                <w:szCs w:val="28"/>
              </w:rPr>
              <w:t>de esta última, por lo que, p</w:t>
            </w:r>
            <w:r w:rsidR="007B3344" w:rsidRPr="00914B3B">
              <w:rPr>
                <w:rFonts w:ascii="Arial" w:hAnsi="Arial" w:cs="Arial"/>
                <w:szCs w:val="28"/>
              </w:rPr>
              <w:t xml:space="preserve">robablemente, en el pasado </w:t>
            </w:r>
            <w:r w:rsidR="007B3344">
              <w:rPr>
                <w:rFonts w:ascii="Arial" w:hAnsi="Arial" w:cs="Arial"/>
                <w:szCs w:val="28"/>
              </w:rPr>
              <w:t xml:space="preserve">la población </w:t>
            </w:r>
            <w:r w:rsidR="007B3344" w:rsidRPr="00914B3B">
              <w:rPr>
                <w:rFonts w:ascii="Arial" w:hAnsi="Arial" w:cs="Arial"/>
                <w:szCs w:val="28"/>
              </w:rPr>
              <w:t xml:space="preserve">debió </w:t>
            </w:r>
            <w:r w:rsidR="007B3344">
              <w:rPr>
                <w:rFonts w:ascii="Arial" w:hAnsi="Arial" w:cs="Arial"/>
                <w:szCs w:val="28"/>
              </w:rPr>
              <w:t>ocupar una mayor extensión.</w:t>
            </w:r>
            <w:r w:rsidR="007B3344" w:rsidRPr="00914B3B">
              <w:rPr>
                <w:rFonts w:ascii="Arial" w:hAnsi="Arial" w:cs="Arial"/>
                <w:szCs w:val="28"/>
              </w:rPr>
              <w:t xml:space="preserve"> </w:t>
            </w:r>
            <w:r w:rsidR="007B3344">
              <w:rPr>
                <w:rFonts w:ascii="Arial" w:hAnsi="Arial" w:cs="Arial"/>
              </w:rPr>
              <w:t xml:space="preserve">Las poblaciones vizcaína y guipuzcoana </w:t>
            </w:r>
            <w:r w:rsidRPr="00391534">
              <w:rPr>
                <w:rFonts w:ascii="Arial" w:hAnsi="Arial" w:cs="Arial"/>
              </w:rPr>
              <w:t xml:space="preserve">son genéticamente únicas dentro del taxón, por lo que se encuentran aisladas geográfica y genéticamente, </w:t>
            </w:r>
            <w:r w:rsidR="007B3344">
              <w:rPr>
                <w:rFonts w:ascii="Arial" w:hAnsi="Arial" w:cs="Arial"/>
              </w:rPr>
              <w:t xml:space="preserve">y </w:t>
            </w:r>
            <w:r w:rsidRPr="00391534">
              <w:rPr>
                <w:rFonts w:ascii="Arial" w:hAnsi="Arial" w:cs="Arial"/>
              </w:rPr>
              <w:t>presentan una baja variabilidad genética</w:t>
            </w:r>
            <w:r w:rsidR="00115808">
              <w:rPr>
                <w:rFonts w:ascii="Arial" w:hAnsi="Arial" w:cs="Arial"/>
              </w:rPr>
              <w:t xml:space="preserve"> interna (</w:t>
            </w:r>
            <w:r w:rsidR="00115808" w:rsidRPr="00B776B9">
              <w:rPr>
                <w:rFonts w:ascii="Arial" w:hAnsi="Arial" w:cs="Arial"/>
                <w:smallCaps/>
              </w:rPr>
              <w:t>Iraola</w:t>
            </w:r>
            <w:r w:rsidR="00115808">
              <w:rPr>
                <w:rFonts w:ascii="Arial" w:hAnsi="Arial" w:cs="Arial"/>
              </w:rPr>
              <w:t xml:space="preserve"> </w:t>
            </w:r>
            <w:r w:rsidR="00115808" w:rsidRPr="00B776B9">
              <w:rPr>
                <w:rFonts w:ascii="Arial" w:hAnsi="Arial" w:cs="Arial"/>
                <w:i/>
              </w:rPr>
              <w:t>et al</w:t>
            </w:r>
            <w:r w:rsidR="00115808">
              <w:rPr>
                <w:rFonts w:ascii="Arial" w:hAnsi="Arial" w:cs="Arial"/>
              </w:rPr>
              <w:t>. 2007)</w:t>
            </w:r>
            <w:r w:rsidRPr="00391534">
              <w:rPr>
                <w:rFonts w:ascii="Arial" w:hAnsi="Arial" w:cs="Arial"/>
              </w:rPr>
              <w:t>.</w:t>
            </w:r>
            <w:r w:rsidR="00115808">
              <w:rPr>
                <w:rFonts w:ascii="Arial" w:hAnsi="Arial" w:cs="Arial"/>
              </w:rPr>
              <w:t xml:space="preserve"> Cada una pertenece además a un linaje diferente dentro de la especie; la vizcaína al linaje que se restringe a la Península Ibérica y la guipuzcoana al linaje que se extiende fuera de la península.</w:t>
            </w:r>
            <w:r w:rsidRPr="00391534">
              <w:rPr>
                <w:rFonts w:ascii="Arial" w:hAnsi="Arial" w:cs="Arial"/>
              </w:rPr>
              <w:t xml:space="preserve"> Resulta imprescindible la conservación </w:t>
            </w:r>
            <w:r w:rsidRPr="00B776B9">
              <w:rPr>
                <w:rFonts w:ascii="Arial" w:hAnsi="Arial" w:cs="Arial"/>
                <w:i/>
              </w:rPr>
              <w:t>in situ</w:t>
            </w:r>
            <w:r w:rsidRPr="00391534">
              <w:rPr>
                <w:rFonts w:ascii="Arial" w:hAnsi="Arial" w:cs="Arial"/>
              </w:rPr>
              <w:t xml:space="preserve"> de ambas poblaciones costeras, para </w:t>
            </w:r>
            <w:r w:rsidR="00115808">
              <w:rPr>
                <w:rFonts w:ascii="Arial" w:hAnsi="Arial" w:cs="Arial"/>
              </w:rPr>
              <w:t>preservar</w:t>
            </w:r>
            <w:r w:rsidRPr="00391534">
              <w:rPr>
                <w:rFonts w:ascii="Arial" w:hAnsi="Arial" w:cs="Arial"/>
              </w:rPr>
              <w:t xml:space="preserve"> la diversidad genética del conjunto.</w:t>
            </w:r>
          </w:p>
          <w:p w14:paraId="3A307432" w14:textId="77777777" w:rsidR="00391534" w:rsidRPr="004E0837" w:rsidRDefault="00391534" w:rsidP="0051214D">
            <w:pPr>
              <w:spacing w:line="360" w:lineRule="auto"/>
              <w:jc w:val="both"/>
              <w:rPr>
                <w:rFonts w:ascii="Arial" w:hAnsi="Arial" w:cs="Arial"/>
                <w:b/>
                <w:highlight w:val="yellow"/>
              </w:rPr>
            </w:pPr>
          </w:p>
        </w:tc>
      </w:tr>
      <w:tr w:rsidR="004E0837" w:rsidRPr="004E0837" w14:paraId="110E3A58" w14:textId="77777777" w:rsidTr="001A1482">
        <w:tc>
          <w:tcPr>
            <w:tcW w:w="1951" w:type="dxa"/>
            <w:shd w:val="clear" w:color="auto" w:fill="BFBFBF" w:themeFill="background1" w:themeFillShade="BF"/>
          </w:tcPr>
          <w:p w14:paraId="7513C7DB" w14:textId="77777777" w:rsidR="00815DC1" w:rsidRDefault="00815DC1" w:rsidP="008C3364">
            <w:pPr>
              <w:spacing w:line="360" w:lineRule="auto"/>
              <w:jc w:val="center"/>
              <w:rPr>
                <w:rFonts w:ascii="Arial" w:hAnsi="Arial" w:cs="Arial"/>
                <w:b/>
              </w:rPr>
            </w:pPr>
          </w:p>
          <w:p w14:paraId="12E71306" w14:textId="77777777" w:rsidR="003E2C9F" w:rsidRPr="004E0837" w:rsidRDefault="009A6413" w:rsidP="008C3364">
            <w:pPr>
              <w:spacing w:line="360" w:lineRule="auto"/>
              <w:jc w:val="center"/>
              <w:rPr>
                <w:rFonts w:ascii="Arial" w:hAnsi="Arial" w:cs="Arial"/>
                <w:b/>
              </w:rPr>
            </w:pPr>
            <w:r w:rsidRPr="004E0837">
              <w:rPr>
                <w:rFonts w:ascii="Arial" w:hAnsi="Arial" w:cs="Arial"/>
                <w:b/>
              </w:rPr>
              <w:t>Situación legal y de conservación</w:t>
            </w:r>
          </w:p>
        </w:tc>
        <w:tc>
          <w:tcPr>
            <w:tcW w:w="6769" w:type="dxa"/>
          </w:tcPr>
          <w:p w14:paraId="45D18766" w14:textId="77777777" w:rsidR="00815DC1" w:rsidRDefault="00815DC1" w:rsidP="00815DC1">
            <w:pPr>
              <w:autoSpaceDE w:val="0"/>
              <w:autoSpaceDN w:val="0"/>
              <w:adjustRightInd w:val="0"/>
              <w:spacing w:line="360" w:lineRule="auto"/>
              <w:jc w:val="both"/>
              <w:rPr>
                <w:rFonts w:ascii="Arial" w:hAnsi="Arial" w:cs="Arial"/>
                <w:b/>
                <w:sz w:val="24"/>
              </w:rPr>
            </w:pPr>
          </w:p>
          <w:p w14:paraId="12443311" w14:textId="77777777" w:rsidR="007C5797" w:rsidRPr="00815DC1" w:rsidRDefault="007C5797" w:rsidP="00815DC1">
            <w:pPr>
              <w:autoSpaceDE w:val="0"/>
              <w:autoSpaceDN w:val="0"/>
              <w:adjustRightInd w:val="0"/>
              <w:spacing w:line="360" w:lineRule="auto"/>
              <w:jc w:val="both"/>
              <w:rPr>
                <w:rFonts w:ascii="Arial" w:hAnsi="Arial" w:cs="Arial"/>
                <w:sz w:val="24"/>
              </w:rPr>
            </w:pPr>
            <w:r w:rsidRPr="00815DC1">
              <w:rPr>
                <w:rFonts w:ascii="Arial" w:hAnsi="Arial" w:cs="Arial"/>
                <w:b/>
                <w:sz w:val="24"/>
              </w:rPr>
              <w:t>Situación legal</w:t>
            </w:r>
            <w:r w:rsidR="00815DC1" w:rsidRPr="00815DC1">
              <w:rPr>
                <w:rFonts w:ascii="Arial" w:hAnsi="Arial" w:cs="Arial"/>
                <w:b/>
                <w:sz w:val="24"/>
              </w:rPr>
              <w:t>:</w:t>
            </w:r>
          </w:p>
          <w:p w14:paraId="5D67D2F0" w14:textId="4AFE4427" w:rsidR="00BE5112" w:rsidRDefault="00815DC1" w:rsidP="00815DC1">
            <w:pPr>
              <w:autoSpaceDE w:val="0"/>
              <w:autoSpaceDN w:val="0"/>
              <w:adjustRightInd w:val="0"/>
              <w:spacing w:line="360" w:lineRule="auto"/>
              <w:ind w:left="708"/>
              <w:jc w:val="both"/>
              <w:rPr>
                <w:rFonts w:ascii="Arial" w:hAnsi="Arial" w:cs="Arial"/>
              </w:rPr>
            </w:pPr>
            <w:r w:rsidRPr="0083047C">
              <w:rPr>
                <w:rFonts w:ascii="Arial" w:hAnsi="Arial" w:cs="Arial"/>
                <w:b/>
              </w:rPr>
              <w:t>-</w:t>
            </w:r>
            <w:r w:rsidR="007C5797" w:rsidRPr="0083047C">
              <w:rPr>
                <w:rFonts w:ascii="Arial" w:hAnsi="Arial" w:cs="Arial"/>
                <w:b/>
                <w:u w:val="single"/>
              </w:rPr>
              <w:t>NORMATIVA EUROPEA Y CONVENIOS INTERNACIONALES:</w:t>
            </w:r>
            <w:r w:rsidR="00BE5112" w:rsidRPr="00815DC1">
              <w:rPr>
                <w:rFonts w:ascii="Arial" w:hAnsi="Arial" w:cs="Arial"/>
              </w:rPr>
              <w:t xml:space="preserve"> Está incluida en la Directiva de Hábitats (Anexo</w:t>
            </w:r>
            <w:r w:rsidR="000F6712" w:rsidRPr="00815DC1">
              <w:rPr>
                <w:rFonts w:ascii="Arial" w:hAnsi="Arial" w:cs="Arial"/>
              </w:rPr>
              <w:t xml:space="preserve"> </w:t>
            </w:r>
            <w:r w:rsidR="00BE5112" w:rsidRPr="00815DC1">
              <w:rPr>
                <w:rFonts w:ascii="Arial" w:hAnsi="Arial" w:cs="Arial"/>
              </w:rPr>
              <w:t>IV) y en el Convenio de Berna (Apéndice II).</w:t>
            </w:r>
          </w:p>
          <w:p w14:paraId="73143121" w14:textId="77777777" w:rsidR="00815DC1" w:rsidRPr="00815DC1" w:rsidRDefault="00815DC1" w:rsidP="00815DC1">
            <w:pPr>
              <w:autoSpaceDE w:val="0"/>
              <w:autoSpaceDN w:val="0"/>
              <w:adjustRightInd w:val="0"/>
              <w:spacing w:line="360" w:lineRule="auto"/>
              <w:ind w:left="708"/>
              <w:jc w:val="both"/>
              <w:rPr>
                <w:rFonts w:ascii="Arial" w:hAnsi="Arial" w:cs="Arial"/>
              </w:rPr>
            </w:pPr>
          </w:p>
          <w:p w14:paraId="68ADA710" w14:textId="7F75397C" w:rsidR="00815DC1" w:rsidRDefault="00815DC1" w:rsidP="00815DC1">
            <w:pPr>
              <w:autoSpaceDE w:val="0"/>
              <w:autoSpaceDN w:val="0"/>
              <w:adjustRightInd w:val="0"/>
              <w:spacing w:line="360" w:lineRule="auto"/>
              <w:ind w:left="708"/>
              <w:jc w:val="both"/>
              <w:rPr>
                <w:rStyle w:val="Textoennegrita"/>
                <w:rFonts w:ascii="Arial" w:hAnsi="Arial" w:cs="Arial"/>
                <w:b w:val="0"/>
                <w:szCs w:val="18"/>
                <w:shd w:val="clear" w:color="auto" w:fill="FFFFFF"/>
              </w:rPr>
            </w:pPr>
            <w:r w:rsidRPr="0083047C">
              <w:rPr>
                <w:rFonts w:ascii="Arial" w:hAnsi="Arial" w:cs="Arial"/>
                <w:b/>
              </w:rPr>
              <w:t>-</w:t>
            </w:r>
            <w:r w:rsidR="007C5797" w:rsidRPr="0083047C">
              <w:rPr>
                <w:rFonts w:ascii="Arial" w:hAnsi="Arial" w:cs="Arial"/>
                <w:b/>
                <w:u w:val="single"/>
              </w:rPr>
              <w:t>NORMATIVA ESTATAL</w:t>
            </w:r>
            <w:r w:rsidR="00BE5112" w:rsidRPr="0083047C">
              <w:rPr>
                <w:rFonts w:ascii="Arial" w:hAnsi="Arial" w:cs="Arial"/>
                <w:b/>
                <w:u w:val="single"/>
              </w:rPr>
              <w:t>:</w:t>
            </w:r>
            <w:r w:rsidR="00BE5112" w:rsidRPr="00815DC1">
              <w:rPr>
                <w:rFonts w:ascii="Arial" w:hAnsi="Arial" w:cs="Arial"/>
              </w:rPr>
              <w:t xml:space="preserve"> </w:t>
            </w:r>
            <w:r w:rsidR="00D77287" w:rsidRPr="00815DC1">
              <w:rPr>
                <w:rStyle w:val="Textoennegrita"/>
                <w:rFonts w:ascii="Arial" w:hAnsi="Arial" w:cs="Arial"/>
                <w:b w:val="0"/>
                <w:szCs w:val="18"/>
                <w:shd w:val="clear" w:color="auto" w:fill="FFFFFF"/>
              </w:rPr>
              <w:t xml:space="preserve">El sapo </w:t>
            </w:r>
            <w:r w:rsidR="00443F83" w:rsidRPr="00815DC1">
              <w:rPr>
                <w:rStyle w:val="Textoennegrita"/>
                <w:rFonts w:ascii="Arial" w:hAnsi="Arial" w:cs="Arial"/>
                <w:b w:val="0"/>
                <w:szCs w:val="18"/>
                <w:shd w:val="clear" w:color="auto" w:fill="FFFFFF"/>
              </w:rPr>
              <w:t>corredor</w:t>
            </w:r>
            <w:r w:rsidR="00D77287" w:rsidRPr="00815DC1">
              <w:rPr>
                <w:rStyle w:val="Textoennegrita"/>
                <w:rFonts w:ascii="Arial" w:hAnsi="Arial" w:cs="Arial"/>
                <w:b w:val="0"/>
                <w:szCs w:val="18"/>
                <w:shd w:val="clear" w:color="auto" w:fill="FFFFFF"/>
              </w:rPr>
              <w:t xml:space="preserve"> no está incluido en el Catálogo Español de Especies Amenazadas</w:t>
            </w:r>
            <w:r w:rsidR="00347989">
              <w:rPr>
                <w:rStyle w:val="Textoennegrita"/>
                <w:rFonts w:ascii="Arial" w:hAnsi="Arial" w:cs="Arial"/>
                <w:b w:val="0"/>
                <w:szCs w:val="18"/>
                <w:shd w:val="clear" w:color="auto" w:fill="FFFFFF"/>
              </w:rPr>
              <w:t>, pero si en el Listado de Especies Silvestres en Régimen de Protección Especial</w:t>
            </w:r>
            <w:r>
              <w:rPr>
                <w:rStyle w:val="Textoennegrita"/>
                <w:rFonts w:ascii="Arial" w:hAnsi="Arial" w:cs="Arial"/>
                <w:b w:val="0"/>
                <w:szCs w:val="18"/>
                <w:shd w:val="clear" w:color="auto" w:fill="FFFFFF"/>
              </w:rPr>
              <w:t>.</w:t>
            </w:r>
          </w:p>
          <w:p w14:paraId="68EEF630" w14:textId="556BEC04" w:rsidR="007C5797" w:rsidRPr="00815DC1" w:rsidRDefault="007C5797" w:rsidP="00815DC1">
            <w:pPr>
              <w:autoSpaceDE w:val="0"/>
              <w:autoSpaceDN w:val="0"/>
              <w:adjustRightInd w:val="0"/>
              <w:spacing w:line="360" w:lineRule="auto"/>
              <w:ind w:left="708"/>
              <w:jc w:val="both"/>
              <w:rPr>
                <w:rStyle w:val="Textoennegrita"/>
                <w:rFonts w:ascii="Arial" w:hAnsi="Arial" w:cs="Arial"/>
                <w:bCs w:val="0"/>
              </w:rPr>
            </w:pPr>
          </w:p>
          <w:p w14:paraId="3267866D" w14:textId="1CCE02E3" w:rsidR="00815DC1" w:rsidRDefault="00815DC1" w:rsidP="00815DC1">
            <w:pPr>
              <w:autoSpaceDE w:val="0"/>
              <w:autoSpaceDN w:val="0"/>
              <w:adjustRightInd w:val="0"/>
              <w:spacing w:line="360" w:lineRule="auto"/>
              <w:ind w:left="708"/>
              <w:jc w:val="both"/>
              <w:rPr>
                <w:rFonts w:ascii="Arial" w:hAnsi="Arial" w:cs="Arial"/>
              </w:rPr>
            </w:pPr>
            <w:r w:rsidRPr="0083047C">
              <w:rPr>
                <w:rFonts w:ascii="Arial" w:hAnsi="Arial" w:cs="Arial"/>
                <w:b/>
              </w:rPr>
              <w:t>-</w:t>
            </w:r>
            <w:r w:rsidR="00BE5112" w:rsidRPr="0083047C">
              <w:rPr>
                <w:rFonts w:ascii="Arial" w:hAnsi="Arial" w:cs="Arial"/>
                <w:b/>
                <w:u w:val="single"/>
              </w:rPr>
              <w:t>NORMATIVA DE LA COMUNIDAD AUTÓNOMA DEL PAÍS VASCO</w:t>
            </w:r>
            <w:r w:rsidRPr="0083047C">
              <w:rPr>
                <w:rFonts w:ascii="Arial" w:hAnsi="Arial" w:cs="Arial"/>
                <w:b/>
                <w:u w:val="single"/>
              </w:rPr>
              <w:t>:</w:t>
            </w:r>
            <w:r>
              <w:rPr>
                <w:rFonts w:ascii="Arial" w:hAnsi="Arial" w:cs="Arial"/>
              </w:rPr>
              <w:t xml:space="preserve"> </w:t>
            </w:r>
            <w:r w:rsidR="002D5983" w:rsidRPr="00815DC1">
              <w:rPr>
                <w:rFonts w:ascii="Arial" w:hAnsi="Arial" w:cs="Arial"/>
              </w:rPr>
              <w:t>E</w:t>
            </w:r>
            <w:r w:rsidR="00443F83" w:rsidRPr="00815DC1">
              <w:rPr>
                <w:rFonts w:ascii="Arial" w:hAnsi="Arial" w:cs="Arial"/>
              </w:rPr>
              <w:t>n el primer CVEA se incluyó a la población de Txingudi</w:t>
            </w:r>
            <w:r w:rsidR="002D5983" w:rsidRPr="00815DC1">
              <w:rPr>
                <w:rFonts w:ascii="Arial" w:hAnsi="Arial" w:cs="Arial"/>
              </w:rPr>
              <w:t xml:space="preserve"> del sapo corredor</w:t>
            </w:r>
            <w:r w:rsidR="00443F83" w:rsidRPr="00815DC1">
              <w:rPr>
                <w:rFonts w:ascii="Arial" w:hAnsi="Arial" w:cs="Arial"/>
              </w:rPr>
              <w:t xml:space="preserve"> en la categoría de “</w:t>
            </w:r>
            <w:r w:rsidR="00443F83" w:rsidRPr="00815DC1">
              <w:rPr>
                <w:rFonts w:ascii="Arial" w:hAnsi="Arial" w:cs="Arial"/>
                <w:i/>
              </w:rPr>
              <w:t>Vulnerable</w:t>
            </w:r>
            <w:r w:rsidR="00443F83" w:rsidRPr="00815DC1">
              <w:rPr>
                <w:rFonts w:ascii="Arial" w:hAnsi="Arial" w:cs="Arial"/>
              </w:rPr>
              <w:t>”</w:t>
            </w:r>
            <w:r w:rsidR="00115808">
              <w:rPr>
                <w:rFonts w:ascii="Arial" w:hAnsi="Arial" w:cs="Arial"/>
              </w:rPr>
              <w:t>.</w:t>
            </w:r>
            <w:r w:rsidR="002D5983" w:rsidRPr="00815DC1">
              <w:rPr>
                <w:rFonts w:ascii="Arial" w:hAnsi="Arial" w:cs="Arial"/>
              </w:rPr>
              <w:t xml:space="preserve"> </w:t>
            </w:r>
            <w:r w:rsidR="00115808">
              <w:rPr>
                <w:rFonts w:ascii="Arial" w:hAnsi="Arial" w:cs="Arial"/>
              </w:rPr>
              <w:t>P</w:t>
            </w:r>
            <w:r w:rsidR="002D5983" w:rsidRPr="00815DC1">
              <w:rPr>
                <w:rFonts w:ascii="Arial" w:hAnsi="Arial" w:cs="Arial"/>
              </w:rPr>
              <w:t xml:space="preserve">ara entonces existían citas históricas de la especie </w:t>
            </w:r>
            <w:r w:rsidR="00615516">
              <w:rPr>
                <w:rFonts w:ascii="Arial" w:hAnsi="Arial" w:cs="Arial"/>
              </w:rPr>
              <w:t>en</w:t>
            </w:r>
            <w:r w:rsidR="00615516" w:rsidRPr="00815DC1">
              <w:rPr>
                <w:rFonts w:ascii="Arial" w:hAnsi="Arial" w:cs="Arial"/>
              </w:rPr>
              <w:t xml:space="preserve"> </w:t>
            </w:r>
            <w:r w:rsidR="002D5983" w:rsidRPr="00815DC1">
              <w:rPr>
                <w:rFonts w:ascii="Arial" w:hAnsi="Arial" w:cs="Arial"/>
              </w:rPr>
              <w:t>la costa vizcaína</w:t>
            </w:r>
            <w:r w:rsidR="00615516">
              <w:rPr>
                <w:rFonts w:ascii="Arial" w:hAnsi="Arial" w:cs="Arial"/>
              </w:rPr>
              <w:t>, aunque se consideraban</w:t>
            </w:r>
            <w:r w:rsidR="002D5983" w:rsidRPr="00815DC1">
              <w:rPr>
                <w:rFonts w:ascii="Arial" w:hAnsi="Arial" w:cs="Arial"/>
              </w:rPr>
              <w:t xml:space="preserve"> extintas, </w:t>
            </w:r>
            <w:r w:rsidR="00615516">
              <w:rPr>
                <w:rFonts w:ascii="Arial" w:hAnsi="Arial" w:cs="Arial"/>
              </w:rPr>
              <w:t>y</w:t>
            </w:r>
            <w:r w:rsidR="002D5983" w:rsidRPr="00815DC1">
              <w:rPr>
                <w:rFonts w:ascii="Arial" w:hAnsi="Arial" w:cs="Arial"/>
              </w:rPr>
              <w:t xml:space="preserve"> se desconocía la </w:t>
            </w:r>
            <w:r w:rsidR="00615516">
              <w:rPr>
                <w:rFonts w:ascii="Arial" w:hAnsi="Arial" w:cs="Arial"/>
              </w:rPr>
              <w:t>persistencia</w:t>
            </w:r>
            <w:r w:rsidR="00615516" w:rsidRPr="00815DC1">
              <w:rPr>
                <w:rFonts w:ascii="Arial" w:hAnsi="Arial" w:cs="Arial"/>
              </w:rPr>
              <w:t xml:space="preserve"> </w:t>
            </w:r>
            <w:r w:rsidR="002D5983" w:rsidRPr="00815DC1">
              <w:rPr>
                <w:rFonts w:ascii="Arial" w:hAnsi="Arial" w:cs="Arial"/>
              </w:rPr>
              <w:t xml:space="preserve">de la población </w:t>
            </w:r>
            <w:r w:rsidR="00615516">
              <w:rPr>
                <w:rFonts w:ascii="Arial" w:hAnsi="Arial" w:cs="Arial"/>
              </w:rPr>
              <w:t>en el</w:t>
            </w:r>
            <w:r w:rsidR="00615516" w:rsidRPr="00815DC1">
              <w:rPr>
                <w:rFonts w:ascii="Arial" w:hAnsi="Arial" w:cs="Arial"/>
              </w:rPr>
              <w:t xml:space="preserve"> </w:t>
            </w:r>
            <w:r w:rsidR="002D5983" w:rsidRPr="00815DC1">
              <w:rPr>
                <w:rFonts w:ascii="Arial" w:hAnsi="Arial" w:cs="Arial"/>
              </w:rPr>
              <w:t xml:space="preserve">arenal de </w:t>
            </w:r>
            <w:r w:rsidR="001337DD">
              <w:rPr>
                <w:rFonts w:ascii="Arial" w:hAnsi="Arial" w:cs="Arial"/>
              </w:rPr>
              <w:t>Gorrondatxe (Getxo)</w:t>
            </w:r>
            <w:r w:rsidR="002D5983" w:rsidRPr="00815DC1">
              <w:rPr>
                <w:rFonts w:ascii="Arial" w:hAnsi="Arial" w:cs="Arial"/>
              </w:rPr>
              <w:t>. En la modificación del CVEA realizada en 2013, se mantuvo la categoría “</w:t>
            </w:r>
            <w:r w:rsidR="002D5983" w:rsidRPr="00815DC1">
              <w:rPr>
                <w:rFonts w:ascii="Arial" w:hAnsi="Arial" w:cs="Arial"/>
                <w:i/>
              </w:rPr>
              <w:t>Vulnerable</w:t>
            </w:r>
            <w:r w:rsidR="002D5983" w:rsidRPr="00815DC1">
              <w:rPr>
                <w:rFonts w:ascii="Arial" w:hAnsi="Arial" w:cs="Arial"/>
              </w:rPr>
              <w:t>” pero en vez de limitarlo a las poblaciones costeras se amplió a nivel de especie, incluyendo las poblaciones alavesas</w:t>
            </w:r>
            <w:r w:rsidR="00591137" w:rsidRPr="00815DC1">
              <w:rPr>
                <w:rFonts w:ascii="Arial" w:hAnsi="Arial" w:cs="Arial"/>
              </w:rPr>
              <w:t xml:space="preserve">. </w:t>
            </w:r>
            <w:r w:rsidR="00E638A9">
              <w:rPr>
                <w:rFonts w:ascii="Arial" w:hAnsi="Arial" w:cs="Arial"/>
              </w:rPr>
              <w:t xml:space="preserve">La propuesta que presenta la Sociedad de Ciencias Aranzadi plantea elevar la categoría de amenaza de las poblaciones costeras a </w:t>
            </w:r>
            <w:r w:rsidR="00E638A9" w:rsidRPr="0083047C">
              <w:rPr>
                <w:rFonts w:ascii="Arial" w:hAnsi="Arial" w:cs="Arial"/>
                <w:b/>
              </w:rPr>
              <w:t>EN PELIGRO DE EXTINCIÓN</w:t>
            </w:r>
            <w:r w:rsidR="00E638A9">
              <w:rPr>
                <w:rFonts w:ascii="Arial" w:hAnsi="Arial" w:cs="Arial"/>
              </w:rPr>
              <w:t>, descatalogando las poblaciones Alavesas.</w:t>
            </w:r>
          </w:p>
          <w:p w14:paraId="489CC828" w14:textId="77777777" w:rsidR="00815DC1" w:rsidRPr="00815DC1" w:rsidRDefault="00815DC1" w:rsidP="00815DC1">
            <w:pPr>
              <w:autoSpaceDE w:val="0"/>
              <w:autoSpaceDN w:val="0"/>
              <w:adjustRightInd w:val="0"/>
              <w:spacing w:line="360" w:lineRule="auto"/>
              <w:jc w:val="both"/>
              <w:rPr>
                <w:rFonts w:ascii="Arial" w:hAnsi="Arial" w:cs="Arial"/>
              </w:rPr>
            </w:pPr>
          </w:p>
          <w:p w14:paraId="41B78817" w14:textId="77777777" w:rsidR="007C5797" w:rsidRPr="00815DC1" w:rsidRDefault="002C662E" w:rsidP="00815DC1">
            <w:pPr>
              <w:autoSpaceDE w:val="0"/>
              <w:autoSpaceDN w:val="0"/>
              <w:adjustRightInd w:val="0"/>
              <w:spacing w:line="360" w:lineRule="auto"/>
              <w:jc w:val="both"/>
              <w:rPr>
                <w:rFonts w:ascii="Arial" w:hAnsi="Arial" w:cs="Arial"/>
                <w:b/>
              </w:rPr>
            </w:pPr>
            <w:r w:rsidRPr="00815DC1">
              <w:rPr>
                <w:rFonts w:ascii="Arial" w:hAnsi="Arial" w:cs="Arial"/>
                <w:b/>
              </w:rPr>
              <w:t>Estado de conservación</w:t>
            </w:r>
            <w:r w:rsidR="00815DC1">
              <w:rPr>
                <w:rFonts w:ascii="Arial" w:hAnsi="Arial" w:cs="Arial"/>
                <w:b/>
              </w:rPr>
              <w:t>:</w:t>
            </w:r>
          </w:p>
          <w:p w14:paraId="38ECA0DD" w14:textId="6FE309EE" w:rsidR="003E2C9F" w:rsidRDefault="00E36FE5" w:rsidP="00347989">
            <w:pPr>
              <w:autoSpaceDE w:val="0"/>
              <w:autoSpaceDN w:val="0"/>
              <w:adjustRightInd w:val="0"/>
              <w:spacing w:line="360" w:lineRule="auto"/>
              <w:jc w:val="both"/>
              <w:rPr>
                <w:rFonts w:ascii="Arial" w:hAnsi="Arial" w:cs="Arial"/>
              </w:rPr>
            </w:pPr>
            <w:r w:rsidRPr="00815DC1">
              <w:rPr>
                <w:rFonts w:ascii="Arial" w:hAnsi="Arial" w:cs="Arial"/>
              </w:rPr>
              <w:t>Categoría global IUCN (2009</w:t>
            </w:r>
            <w:r w:rsidR="008C3364" w:rsidRPr="00815DC1">
              <w:rPr>
                <w:rFonts w:ascii="Arial" w:hAnsi="Arial" w:cs="Arial"/>
              </w:rPr>
              <w:t xml:space="preserve">): </w:t>
            </w:r>
            <w:r w:rsidR="00E638A9">
              <w:rPr>
                <w:rFonts w:ascii="Arial" w:hAnsi="Arial" w:cs="Arial"/>
              </w:rPr>
              <w:t>“</w:t>
            </w:r>
            <w:r w:rsidR="00591137" w:rsidRPr="0083047C">
              <w:rPr>
                <w:rFonts w:ascii="Arial" w:hAnsi="Arial" w:cs="Arial"/>
                <w:i/>
              </w:rPr>
              <w:t>Preocupación menor</w:t>
            </w:r>
            <w:r w:rsidR="00E638A9">
              <w:rPr>
                <w:rFonts w:ascii="Arial" w:hAnsi="Arial" w:cs="Arial"/>
                <w:i/>
              </w:rPr>
              <w:t>”</w:t>
            </w:r>
            <w:r w:rsidR="008C3364" w:rsidRPr="00815DC1">
              <w:rPr>
                <w:rFonts w:ascii="Arial" w:hAnsi="Arial" w:cs="Arial"/>
              </w:rPr>
              <w:t xml:space="preserve"> (NT)</w:t>
            </w:r>
            <w:r w:rsidR="005302A2">
              <w:rPr>
                <w:rFonts w:ascii="Arial" w:hAnsi="Arial" w:cs="Arial"/>
              </w:rPr>
              <w:t xml:space="preserve"> (</w:t>
            </w:r>
            <w:r w:rsidR="005302A2" w:rsidRPr="00B776B9">
              <w:rPr>
                <w:rFonts w:ascii="Arial" w:hAnsi="Arial" w:cs="Arial"/>
                <w:smallCaps/>
              </w:rPr>
              <w:t>Beja</w:t>
            </w:r>
            <w:r w:rsidR="005302A2">
              <w:rPr>
                <w:rFonts w:ascii="Arial" w:hAnsi="Arial" w:cs="Arial"/>
              </w:rPr>
              <w:t xml:space="preserve"> </w:t>
            </w:r>
            <w:r w:rsidR="005302A2" w:rsidRPr="00B776B9">
              <w:rPr>
                <w:rFonts w:ascii="Arial" w:hAnsi="Arial" w:cs="Arial"/>
                <w:i/>
              </w:rPr>
              <w:t>et al</w:t>
            </w:r>
            <w:r w:rsidR="005302A2">
              <w:rPr>
                <w:rFonts w:ascii="Arial" w:hAnsi="Arial" w:cs="Arial"/>
              </w:rPr>
              <w:t>., 2009)</w:t>
            </w:r>
            <w:r w:rsidR="00815DC1">
              <w:rPr>
                <w:rFonts w:ascii="Arial" w:hAnsi="Arial" w:cs="Arial"/>
              </w:rPr>
              <w:t>.</w:t>
            </w:r>
            <w:r w:rsidR="008C3364" w:rsidRPr="00815DC1">
              <w:rPr>
                <w:rFonts w:ascii="Arial" w:hAnsi="Arial" w:cs="Arial"/>
              </w:rPr>
              <w:t xml:space="preserve"> Categoría E</w:t>
            </w:r>
            <w:r w:rsidR="003B0601" w:rsidRPr="00815DC1">
              <w:rPr>
                <w:rFonts w:ascii="Arial" w:hAnsi="Arial" w:cs="Arial"/>
              </w:rPr>
              <w:t>uropea</w:t>
            </w:r>
            <w:r w:rsidR="008C3364" w:rsidRPr="00815DC1">
              <w:rPr>
                <w:rFonts w:ascii="Arial" w:hAnsi="Arial" w:cs="Arial"/>
              </w:rPr>
              <w:t xml:space="preserve"> IUCN (200</w:t>
            </w:r>
            <w:r w:rsidRPr="00815DC1">
              <w:rPr>
                <w:rFonts w:ascii="Arial" w:hAnsi="Arial" w:cs="Arial"/>
              </w:rPr>
              <w:t>9</w:t>
            </w:r>
            <w:r w:rsidR="008C3364" w:rsidRPr="00815DC1">
              <w:rPr>
                <w:rFonts w:ascii="Arial" w:hAnsi="Arial" w:cs="Arial"/>
              </w:rPr>
              <w:t xml:space="preserve">): </w:t>
            </w:r>
            <w:r w:rsidR="00E638A9">
              <w:rPr>
                <w:rFonts w:ascii="Arial" w:hAnsi="Arial" w:cs="Arial"/>
              </w:rPr>
              <w:t>“</w:t>
            </w:r>
            <w:r w:rsidR="00591137" w:rsidRPr="0083047C">
              <w:rPr>
                <w:rFonts w:ascii="Arial" w:hAnsi="Arial" w:cs="Arial"/>
                <w:i/>
              </w:rPr>
              <w:t>Preocupación menor</w:t>
            </w:r>
            <w:r w:rsidR="00E638A9">
              <w:rPr>
                <w:rFonts w:ascii="Arial" w:hAnsi="Arial" w:cs="Arial"/>
              </w:rPr>
              <w:t>”</w:t>
            </w:r>
            <w:r w:rsidR="00815DC1">
              <w:rPr>
                <w:rFonts w:ascii="Arial" w:hAnsi="Arial" w:cs="Arial"/>
              </w:rPr>
              <w:t xml:space="preserve"> (NT)</w:t>
            </w:r>
            <w:r w:rsidR="005302A2">
              <w:rPr>
                <w:rFonts w:ascii="Arial" w:hAnsi="Arial" w:cs="Arial"/>
              </w:rPr>
              <w:t xml:space="preserve"> (</w:t>
            </w:r>
            <w:r w:rsidR="005302A2" w:rsidRPr="00B776B9">
              <w:rPr>
                <w:rFonts w:ascii="Arial" w:hAnsi="Arial" w:cs="Arial"/>
                <w:smallCaps/>
              </w:rPr>
              <w:t>Beja</w:t>
            </w:r>
            <w:r w:rsidR="005302A2">
              <w:rPr>
                <w:rFonts w:ascii="Arial" w:hAnsi="Arial" w:cs="Arial"/>
              </w:rPr>
              <w:t xml:space="preserve"> </w:t>
            </w:r>
            <w:r w:rsidR="005302A2" w:rsidRPr="00B776B9">
              <w:rPr>
                <w:rFonts w:ascii="Arial" w:hAnsi="Arial" w:cs="Arial"/>
                <w:i/>
              </w:rPr>
              <w:t>et al</w:t>
            </w:r>
            <w:r w:rsidR="005302A2">
              <w:rPr>
                <w:rFonts w:ascii="Arial" w:hAnsi="Arial" w:cs="Arial"/>
              </w:rPr>
              <w:t>., 2009)</w:t>
            </w:r>
            <w:r w:rsidR="00815DC1">
              <w:rPr>
                <w:rFonts w:ascii="Arial" w:hAnsi="Arial" w:cs="Arial"/>
              </w:rPr>
              <w:t>.</w:t>
            </w:r>
          </w:p>
          <w:p w14:paraId="68E41533" w14:textId="537F4FF7" w:rsidR="00815DC1" w:rsidRPr="00815DC1" w:rsidRDefault="00347989" w:rsidP="00347989">
            <w:pPr>
              <w:autoSpaceDE w:val="0"/>
              <w:autoSpaceDN w:val="0"/>
              <w:adjustRightInd w:val="0"/>
              <w:spacing w:line="360" w:lineRule="auto"/>
              <w:jc w:val="both"/>
              <w:rPr>
                <w:rFonts w:ascii="Arial" w:hAnsi="Arial" w:cs="Arial"/>
              </w:rPr>
            </w:pPr>
            <w:r w:rsidRPr="00347989">
              <w:rPr>
                <w:rFonts w:ascii="Arial" w:hAnsi="Arial" w:cs="Arial"/>
              </w:rPr>
              <w:t>Informe de evaluación del estado de conservación (artículo 17 de la Directiva Hábitats) para el periodo 2013-2018: “desfavorable-malo” (U2), tanto en la región biogeográfica atlántica, como en la mediterránea.</w:t>
            </w:r>
          </w:p>
        </w:tc>
      </w:tr>
      <w:tr w:rsidR="004E0837" w:rsidRPr="004E0837" w14:paraId="17447AE2" w14:textId="77777777" w:rsidTr="001A1482">
        <w:tblPrEx>
          <w:tblCellMar>
            <w:left w:w="70" w:type="dxa"/>
            <w:right w:w="70" w:type="dxa"/>
          </w:tblCellMar>
        </w:tblPrEx>
        <w:tc>
          <w:tcPr>
            <w:tcW w:w="1951" w:type="dxa"/>
            <w:shd w:val="clear" w:color="auto" w:fill="BFBFBF" w:themeFill="background1" w:themeFillShade="BF"/>
          </w:tcPr>
          <w:p w14:paraId="69E0FC43" w14:textId="77777777" w:rsidR="00815DC1" w:rsidRDefault="00815DC1" w:rsidP="008C3364">
            <w:pPr>
              <w:spacing w:line="360" w:lineRule="auto"/>
              <w:jc w:val="center"/>
              <w:rPr>
                <w:rFonts w:ascii="Arial" w:hAnsi="Arial" w:cs="Arial"/>
                <w:b/>
              </w:rPr>
            </w:pPr>
          </w:p>
          <w:p w14:paraId="773A7C50" w14:textId="77777777" w:rsidR="003E2C9F" w:rsidRPr="004E0837" w:rsidRDefault="009A6413" w:rsidP="008C3364">
            <w:pPr>
              <w:spacing w:line="360" w:lineRule="auto"/>
              <w:jc w:val="center"/>
              <w:rPr>
                <w:rFonts w:ascii="Arial" w:hAnsi="Arial" w:cs="Arial"/>
                <w:b/>
              </w:rPr>
            </w:pPr>
            <w:r w:rsidRPr="004E0837">
              <w:rPr>
                <w:rFonts w:ascii="Arial" w:hAnsi="Arial" w:cs="Arial"/>
                <w:b/>
              </w:rPr>
              <w:t>Área de distribución. Evolución</w:t>
            </w:r>
          </w:p>
        </w:tc>
        <w:tc>
          <w:tcPr>
            <w:tcW w:w="6769" w:type="dxa"/>
          </w:tcPr>
          <w:p w14:paraId="19C0116F" w14:textId="77777777" w:rsidR="0051214D" w:rsidRDefault="0051214D" w:rsidP="00815DC1">
            <w:pPr>
              <w:widowControl w:val="0"/>
              <w:autoSpaceDE w:val="0"/>
              <w:autoSpaceDN w:val="0"/>
              <w:adjustRightInd w:val="0"/>
              <w:spacing w:after="240" w:line="360" w:lineRule="auto"/>
              <w:jc w:val="both"/>
              <w:rPr>
                <w:rFonts w:ascii="Arial" w:hAnsi="Arial" w:cs="Arial"/>
                <w:szCs w:val="20"/>
                <w:lang w:val="es-ES_tradnl"/>
              </w:rPr>
            </w:pPr>
          </w:p>
          <w:p w14:paraId="78699946" w14:textId="5771374E" w:rsidR="00815DC1" w:rsidRPr="00AD78FB" w:rsidRDefault="00815DC1" w:rsidP="00815DC1">
            <w:pPr>
              <w:widowControl w:val="0"/>
              <w:autoSpaceDE w:val="0"/>
              <w:autoSpaceDN w:val="0"/>
              <w:adjustRightInd w:val="0"/>
              <w:spacing w:after="240" w:line="360" w:lineRule="auto"/>
              <w:jc w:val="both"/>
              <w:rPr>
                <w:rFonts w:ascii="Arial" w:eastAsia="Times New Roman" w:hAnsi="Arial" w:cs="Arial"/>
                <w:szCs w:val="20"/>
                <w:lang w:eastAsia="es-ES"/>
              </w:rPr>
            </w:pPr>
            <w:r w:rsidRPr="00AD78FB">
              <w:rPr>
                <w:rFonts w:ascii="Arial" w:hAnsi="Arial" w:cs="Arial"/>
                <w:szCs w:val="20"/>
                <w:lang w:val="es-ES_tradnl"/>
              </w:rPr>
              <w:t xml:space="preserve">En la Comunidad Autónoma del País Vasco el sapo corredor se distribuye de forma regular y continua a lo largo de la </w:t>
            </w:r>
            <w:r w:rsidR="00615516">
              <w:rPr>
                <w:rFonts w:ascii="Arial" w:hAnsi="Arial" w:cs="Arial"/>
                <w:szCs w:val="20"/>
                <w:lang w:val="es-ES_tradnl"/>
              </w:rPr>
              <w:t>zona</w:t>
            </w:r>
            <w:r w:rsidR="00615516" w:rsidRPr="00AD78FB">
              <w:rPr>
                <w:rFonts w:ascii="Arial" w:hAnsi="Arial" w:cs="Arial"/>
                <w:szCs w:val="20"/>
                <w:lang w:val="es-ES_tradnl"/>
              </w:rPr>
              <w:t xml:space="preserve"> </w:t>
            </w:r>
            <w:r w:rsidRPr="00AD78FB">
              <w:rPr>
                <w:rFonts w:ascii="Arial" w:hAnsi="Arial" w:cs="Arial"/>
                <w:szCs w:val="20"/>
                <w:lang w:val="es-ES_tradnl"/>
              </w:rPr>
              <w:t xml:space="preserve">mediterránea, adentrándose hasta la mayor parte de la zona subcantábrica. </w:t>
            </w:r>
          </w:p>
          <w:p w14:paraId="062A1D5A" w14:textId="77777777" w:rsidR="005149B4" w:rsidRPr="00AD78FB" w:rsidRDefault="00E278D9" w:rsidP="001E502C">
            <w:pPr>
              <w:widowControl w:val="0"/>
              <w:autoSpaceDE w:val="0"/>
              <w:autoSpaceDN w:val="0"/>
              <w:adjustRightInd w:val="0"/>
              <w:spacing w:after="240" w:line="360" w:lineRule="auto"/>
              <w:jc w:val="both"/>
              <w:rPr>
                <w:rFonts w:ascii="Arial" w:eastAsia="Times New Roman" w:hAnsi="Arial" w:cs="Arial"/>
                <w:szCs w:val="20"/>
                <w:lang w:eastAsia="es-ES"/>
              </w:rPr>
            </w:pPr>
            <w:r w:rsidRPr="00AD78FB">
              <w:rPr>
                <w:rFonts w:ascii="Arial" w:eastAsia="Times New Roman" w:hAnsi="Arial" w:cs="Arial"/>
                <w:szCs w:val="20"/>
                <w:lang w:eastAsia="es-ES"/>
              </w:rPr>
              <w:t xml:space="preserve">De cara a la justificación de la catalogación de </w:t>
            </w:r>
            <w:r w:rsidR="005149B4" w:rsidRPr="00AD78FB">
              <w:rPr>
                <w:rFonts w:ascii="Arial" w:eastAsia="Times New Roman" w:hAnsi="Arial" w:cs="Arial"/>
                <w:szCs w:val="20"/>
                <w:lang w:eastAsia="es-ES"/>
              </w:rPr>
              <w:t xml:space="preserve">las </w:t>
            </w:r>
            <w:r w:rsidRPr="00AD78FB">
              <w:rPr>
                <w:rFonts w:ascii="Arial" w:eastAsia="Times New Roman" w:hAnsi="Arial" w:cs="Arial"/>
                <w:szCs w:val="20"/>
                <w:lang w:eastAsia="es-ES"/>
              </w:rPr>
              <w:t>poblaci</w:t>
            </w:r>
            <w:r w:rsidR="005149B4" w:rsidRPr="00AD78FB">
              <w:rPr>
                <w:rFonts w:ascii="Arial" w:eastAsia="Times New Roman" w:hAnsi="Arial" w:cs="Arial"/>
                <w:szCs w:val="20"/>
                <w:lang w:eastAsia="es-ES"/>
              </w:rPr>
              <w:t>ones costeras</w:t>
            </w:r>
            <w:r w:rsidR="0051214D">
              <w:rPr>
                <w:rFonts w:ascii="Arial" w:eastAsia="Times New Roman" w:hAnsi="Arial" w:cs="Arial"/>
                <w:szCs w:val="20"/>
                <w:lang w:eastAsia="es-ES"/>
              </w:rPr>
              <w:t>, a continuación</w:t>
            </w:r>
            <w:r w:rsidR="00815DC1">
              <w:rPr>
                <w:rFonts w:ascii="Arial" w:eastAsia="Times New Roman" w:hAnsi="Arial" w:cs="Arial"/>
                <w:szCs w:val="20"/>
                <w:lang w:eastAsia="es-ES"/>
              </w:rPr>
              <w:t xml:space="preserve"> </w:t>
            </w:r>
            <w:r w:rsidRPr="00AD78FB">
              <w:rPr>
                <w:rFonts w:ascii="Arial" w:eastAsia="Times New Roman" w:hAnsi="Arial" w:cs="Arial"/>
                <w:szCs w:val="20"/>
                <w:lang w:eastAsia="es-ES"/>
              </w:rPr>
              <w:t>nos ceñiremos a</w:t>
            </w:r>
            <w:r w:rsidR="0051214D">
              <w:rPr>
                <w:rFonts w:ascii="Arial" w:eastAsia="Times New Roman" w:hAnsi="Arial" w:cs="Arial"/>
                <w:szCs w:val="20"/>
                <w:lang w:eastAsia="es-ES"/>
              </w:rPr>
              <w:t>l área de distribución de</w:t>
            </w:r>
            <w:r w:rsidRPr="00AD78FB">
              <w:rPr>
                <w:rFonts w:ascii="Arial" w:eastAsia="Times New Roman" w:hAnsi="Arial" w:cs="Arial"/>
                <w:szCs w:val="20"/>
                <w:lang w:eastAsia="es-ES"/>
              </w:rPr>
              <w:t xml:space="preserve"> cada una de</w:t>
            </w:r>
            <w:r w:rsidR="0051214D">
              <w:rPr>
                <w:rFonts w:ascii="Arial" w:eastAsia="Times New Roman" w:hAnsi="Arial" w:cs="Arial"/>
                <w:szCs w:val="20"/>
                <w:lang w:eastAsia="es-ES"/>
              </w:rPr>
              <w:t xml:space="preserve"> est</w:t>
            </w:r>
            <w:r w:rsidRPr="00AD78FB">
              <w:rPr>
                <w:rFonts w:ascii="Arial" w:eastAsia="Times New Roman" w:hAnsi="Arial" w:cs="Arial"/>
                <w:szCs w:val="20"/>
                <w:lang w:eastAsia="es-ES"/>
              </w:rPr>
              <w:t>as poblaciones</w:t>
            </w:r>
            <w:r w:rsidR="00815DC1">
              <w:rPr>
                <w:rFonts w:ascii="Arial" w:eastAsia="Times New Roman" w:hAnsi="Arial" w:cs="Arial"/>
                <w:szCs w:val="20"/>
                <w:lang w:eastAsia="es-ES"/>
              </w:rPr>
              <w:t>.</w:t>
            </w:r>
          </w:p>
          <w:p w14:paraId="18B4B02F" w14:textId="77777777" w:rsidR="005149B4" w:rsidRPr="00AD78FB" w:rsidRDefault="005149B4" w:rsidP="001E502C">
            <w:pPr>
              <w:spacing w:line="360" w:lineRule="auto"/>
              <w:jc w:val="center"/>
              <w:rPr>
                <w:rFonts w:ascii="Arial" w:hAnsi="Arial" w:cs="Arial"/>
                <w:szCs w:val="20"/>
                <w:lang w:val="es-ES_tradnl"/>
              </w:rPr>
            </w:pPr>
            <w:r w:rsidRPr="00AD78FB">
              <w:rPr>
                <w:rFonts w:ascii="Arial" w:hAnsi="Arial" w:cs="Arial"/>
                <w:noProof/>
                <w:szCs w:val="20"/>
                <w:lang w:eastAsia="es-ES"/>
              </w:rPr>
              <w:drawing>
                <wp:inline distT="0" distB="0" distL="0" distR="0" wp14:anchorId="5C186887" wp14:editId="319FE773">
                  <wp:extent cx="4140000" cy="3307943"/>
                  <wp:effectExtent l="19050" t="19050" r="13335" b="26035"/>
                  <wp:docPr id="3" name="Imagen 3" descr="Mapa_Ecalamita_UTM10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_Ecalamita_UTM10x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40000" cy="3307943"/>
                          </a:xfrm>
                          <a:prstGeom prst="rect">
                            <a:avLst/>
                          </a:prstGeom>
                          <a:noFill/>
                          <a:ln>
                            <a:solidFill>
                              <a:schemeClr val="tx1"/>
                            </a:solidFill>
                          </a:ln>
                        </pic:spPr>
                      </pic:pic>
                    </a:graphicData>
                  </a:graphic>
                </wp:inline>
              </w:drawing>
            </w:r>
          </w:p>
          <w:p w14:paraId="66D7AE2C" w14:textId="77777777" w:rsidR="00E278D9" w:rsidRPr="00347989" w:rsidRDefault="0051214D" w:rsidP="0083047C">
            <w:pPr>
              <w:widowControl w:val="0"/>
              <w:autoSpaceDE w:val="0"/>
              <w:autoSpaceDN w:val="0"/>
              <w:adjustRightInd w:val="0"/>
              <w:spacing w:after="240" w:line="360" w:lineRule="auto"/>
              <w:ind w:left="103" w:right="151"/>
              <w:jc w:val="both"/>
              <w:rPr>
                <w:rFonts w:ascii="Arial" w:hAnsi="Arial" w:cs="Arial"/>
                <w:sz w:val="18"/>
                <w:szCs w:val="18"/>
                <w:lang w:val="es-ES_tradnl"/>
              </w:rPr>
            </w:pPr>
            <w:r w:rsidRPr="00347989">
              <w:rPr>
                <w:rFonts w:ascii="Arial" w:hAnsi="Arial" w:cs="Arial"/>
                <w:b/>
                <w:sz w:val="18"/>
                <w:szCs w:val="18"/>
                <w:lang w:val="es-ES_tradnl"/>
              </w:rPr>
              <w:t xml:space="preserve">Figura 1. </w:t>
            </w:r>
            <w:r w:rsidR="005149B4" w:rsidRPr="00347989">
              <w:rPr>
                <w:rFonts w:ascii="Arial" w:hAnsi="Arial" w:cs="Arial"/>
                <w:sz w:val="18"/>
                <w:szCs w:val="18"/>
                <w:lang w:val="es-ES_tradnl"/>
              </w:rPr>
              <w:t>En verde</w:t>
            </w:r>
            <w:r w:rsidR="00615516" w:rsidRPr="00347989">
              <w:rPr>
                <w:rFonts w:ascii="Arial" w:hAnsi="Arial" w:cs="Arial"/>
                <w:sz w:val="18"/>
                <w:szCs w:val="18"/>
                <w:lang w:val="es-ES_tradnl"/>
              </w:rPr>
              <w:t>,</w:t>
            </w:r>
            <w:r w:rsidR="005149B4" w:rsidRPr="00347989">
              <w:rPr>
                <w:rFonts w:ascii="Arial" w:hAnsi="Arial" w:cs="Arial"/>
                <w:sz w:val="18"/>
                <w:szCs w:val="18"/>
                <w:lang w:val="es-ES_tradnl"/>
              </w:rPr>
              <w:t xml:space="preserve"> cuadrículas 10x10 km con presencia de la especie. Las rojas poblaciones desaparecidas.</w:t>
            </w:r>
          </w:p>
          <w:p w14:paraId="7B41C98A" w14:textId="77777777" w:rsidR="001E502C" w:rsidRPr="00AD78FB" w:rsidRDefault="001E502C" w:rsidP="001E502C">
            <w:pPr>
              <w:pStyle w:val="Prrafodelista"/>
              <w:widowControl w:val="0"/>
              <w:numPr>
                <w:ilvl w:val="0"/>
                <w:numId w:val="13"/>
              </w:numPr>
              <w:autoSpaceDE w:val="0"/>
              <w:autoSpaceDN w:val="0"/>
              <w:adjustRightInd w:val="0"/>
              <w:spacing w:after="240" w:line="360" w:lineRule="auto"/>
              <w:ind w:right="67"/>
              <w:jc w:val="both"/>
              <w:rPr>
                <w:rFonts w:ascii="Arial" w:hAnsi="Arial" w:cs="Arial"/>
                <w:b/>
                <w:szCs w:val="20"/>
                <w:lang w:val="es-ES_tradnl"/>
              </w:rPr>
            </w:pPr>
            <w:r w:rsidRPr="00AD78FB">
              <w:rPr>
                <w:rFonts w:ascii="Arial" w:hAnsi="Arial" w:cs="Arial"/>
                <w:b/>
                <w:szCs w:val="20"/>
                <w:lang w:val="es-ES_tradnl"/>
              </w:rPr>
              <w:t>Población del área de Txingudi</w:t>
            </w:r>
          </w:p>
          <w:p w14:paraId="25DDA121" w14:textId="2D639F1A" w:rsidR="001E502C" w:rsidRPr="00AD78FB" w:rsidRDefault="001E502C" w:rsidP="001E502C">
            <w:pPr>
              <w:widowControl w:val="0"/>
              <w:autoSpaceDE w:val="0"/>
              <w:autoSpaceDN w:val="0"/>
              <w:adjustRightInd w:val="0"/>
              <w:spacing w:after="240" w:line="360" w:lineRule="auto"/>
              <w:ind w:left="44" w:right="67"/>
              <w:jc w:val="both"/>
              <w:rPr>
                <w:rFonts w:ascii="Arial" w:eastAsia="Times New Roman" w:hAnsi="Arial" w:cs="Arial"/>
                <w:szCs w:val="20"/>
                <w:lang w:eastAsia="es-ES"/>
              </w:rPr>
            </w:pPr>
            <w:r w:rsidRPr="00AD78FB">
              <w:rPr>
                <w:rFonts w:ascii="Arial" w:hAnsi="Arial" w:cs="Arial"/>
                <w:szCs w:val="20"/>
                <w:lang w:val="es-ES_tradnl"/>
              </w:rPr>
              <w:t>Atendiendo el mapa de distribución tramado con la red de UTMs de 1 x 1 kilómetros, el área de distribución del sapo corredor en Txingudi se estima en 700 ha</w:t>
            </w:r>
            <w:r w:rsidR="00D13D87">
              <w:rPr>
                <w:rFonts w:ascii="Arial" w:hAnsi="Arial" w:cs="Arial"/>
                <w:szCs w:val="20"/>
                <w:lang w:val="es-ES_tradnl"/>
              </w:rPr>
              <w:t xml:space="preserve"> (</w:t>
            </w:r>
            <w:r w:rsidR="00D13D87" w:rsidRPr="00B776B9">
              <w:rPr>
                <w:rFonts w:ascii="Arial" w:hAnsi="Arial" w:cs="Arial"/>
                <w:smallCaps/>
                <w:szCs w:val="20"/>
                <w:lang w:val="es-ES_tradnl"/>
              </w:rPr>
              <w:t>figura</w:t>
            </w:r>
            <w:r w:rsidR="00EC54C8" w:rsidRPr="00B776B9">
              <w:rPr>
                <w:rFonts w:ascii="Arial" w:hAnsi="Arial" w:cs="Arial"/>
                <w:smallCaps/>
                <w:szCs w:val="20"/>
                <w:lang w:val="es-ES_tradnl"/>
              </w:rPr>
              <w:t xml:space="preserve"> 2</w:t>
            </w:r>
            <w:r w:rsidR="00EC54C8">
              <w:rPr>
                <w:rFonts w:ascii="Arial" w:hAnsi="Arial" w:cs="Arial"/>
                <w:szCs w:val="20"/>
                <w:lang w:val="es-ES_tradnl"/>
              </w:rPr>
              <w:t>)</w:t>
            </w:r>
            <w:r w:rsidRPr="00AD78FB">
              <w:rPr>
                <w:rFonts w:ascii="Arial" w:hAnsi="Arial" w:cs="Arial"/>
                <w:szCs w:val="20"/>
                <w:lang w:val="es-ES_tradnl"/>
              </w:rPr>
              <w:t>. Sin embargo, acercando el foco, y trazando el área de distribución en una escala más fina, la superficie total en 2019 se estima que es de 97,60 ha</w:t>
            </w:r>
            <w:r w:rsidR="00D13D87">
              <w:rPr>
                <w:rFonts w:ascii="Arial" w:hAnsi="Arial" w:cs="Arial"/>
                <w:szCs w:val="20"/>
                <w:lang w:val="es-ES_tradnl"/>
              </w:rPr>
              <w:t xml:space="preserve"> (</w:t>
            </w:r>
            <w:r w:rsidR="00D13D87" w:rsidRPr="00B776B9">
              <w:rPr>
                <w:rFonts w:ascii="Arial" w:hAnsi="Arial" w:cs="Arial"/>
                <w:smallCaps/>
                <w:szCs w:val="20"/>
                <w:lang w:val="es-ES_tradnl"/>
              </w:rPr>
              <w:t>figura</w:t>
            </w:r>
            <w:r w:rsidR="00EC54C8" w:rsidRPr="00B776B9">
              <w:rPr>
                <w:rFonts w:ascii="Arial" w:hAnsi="Arial" w:cs="Arial"/>
                <w:smallCaps/>
                <w:szCs w:val="20"/>
                <w:lang w:val="es-ES_tradnl"/>
              </w:rPr>
              <w:t xml:space="preserve"> 3</w:t>
            </w:r>
            <w:r w:rsidR="00EC54C8">
              <w:rPr>
                <w:rFonts w:ascii="Arial" w:hAnsi="Arial" w:cs="Arial"/>
                <w:szCs w:val="20"/>
                <w:lang w:val="es-ES_tradnl"/>
              </w:rPr>
              <w:t>)</w:t>
            </w:r>
            <w:r w:rsidRPr="00AD78FB">
              <w:rPr>
                <w:rFonts w:ascii="Arial" w:hAnsi="Arial" w:cs="Arial"/>
                <w:szCs w:val="20"/>
                <w:lang w:val="es-ES_tradnl"/>
              </w:rPr>
              <w:t>. En la actualidad la población está diseminada en cinco núcleos poblacionales fragmentados que funcionan como unidades de gestión independientes.</w:t>
            </w:r>
          </w:p>
          <w:p w14:paraId="427B3B57" w14:textId="3EF40AF7" w:rsidR="001E502C" w:rsidRPr="00AD78FB" w:rsidRDefault="006D6D6D" w:rsidP="001E502C">
            <w:pPr>
              <w:widowControl w:val="0"/>
              <w:autoSpaceDE w:val="0"/>
              <w:autoSpaceDN w:val="0"/>
              <w:adjustRightInd w:val="0"/>
              <w:spacing w:after="240" w:line="360" w:lineRule="auto"/>
              <w:ind w:left="44" w:right="67"/>
              <w:jc w:val="both"/>
              <w:rPr>
                <w:rFonts w:ascii="Arial" w:eastAsia="Times New Roman" w:hAnsi="Arial" w:cs="Arial"/>
                <w:szCs w:val="20"/>
                <w:lang w:eastAsia="es-ES"/>
              </w:rPr>
            </w:pPr>
            <w:r>
              <w:rPr>
                <w:rFonts w:ascii="Arial" w:hAnsi="Arial" w:cs="Arial"/>
                <w:szCs w:val="20"/>
              </w:rPr>
              <w:t xml:space="preserve">Al </w:t>
            </w:r>
            <w:r>
              <w:rPr>
                <w:rFonts w:ascii="Arial" w:hAnsi="Arial" w:cs="Arial"/>
                <w:szCs w:val="20"/>
                <w:lang w:val="es-ES_tradnl"/>
              </w:rPr>
              <w:t>e</w:t>
            </w:r>
            <w:r w:rsidR="001E502C" w:rsidRPr="00AD78FB">
              <w:rPr>
                <w:rFonts w:ascii="Arial" w:hAnsi="Arial" w:cs="Arial"/>
                <w:szCs w:val="20"/>
                <w:lang w:val="es-ES_tradnl"/>
              </w:rPr>
              <w:t>valua</w:t>
            </w:r>
            <w:r>
              <w:rPr>
                <w:rFonts w:ascii="Arial" w:hAnsi="Arial" w:cs="Arial"/>
                <w:szCs w:val="20"/>
                <w:lang w:val="es-ES_tradnl"/>
              </w:rPr>
              <w:t>r la tendencia de la distribución en Txingudi</w:t>
            </w:r>
            <w:r w:rsidR="001E502C" w:rsidRPr="00AD78FB">
              <w:rPr>
                <w:rFonts w:ascii="Arial" w:hAnsi="Arial" w:cs="Arial"/>
                <w:szCs w:val="20"/>
                <w:lang w:val="es-ES_tradnl"/>
              </w:rPr>
              <w:t xml:space="preserve"> </w:t>
            </w:r>
            <w:r>
              <w:rPr>
                <w:rFonts w:ascii="Arial" w:hAnsi="Arial" w:cs="Arial"/>
                <w:szCs w:val="20"/>
                <w:lang w:val="es-ES_tradnl"/>
              </w:rPr>
              <w:t xml:space="preserve">según </w:t>
            </w:r>
            <w:r w:rsidR="001E502C" w:rsidRPr="00AD78FB">
              <w:rPr>
                <w:rFonts w:ascii="Arial" w:hAnsi="Arial" w:cs="Arial"/>
                <w:szCs w:val="20"/>
                <w:lang w:val="es-ES_tradnl"/>
              </w:rPr>
              <w:t>las dos escalas empleadas</w:t>
            </w:r>
            <w:r>
              <w:rPr>
                <w:rFonts w:ascii="Arial" w:hAnsi="Arial" w:cs="Arial"/>
                <w:szCs w:val="20"/>
                <w:lang w:val="es-ES_tradnl"/>
              </w:rPr>
              <w:t>,</w:t>
            </w:r>
            <w:r w:rsidR="001E502C" w:rsidRPr="00AD78FB">
              <w:rPr>
                <w:rFonts w:ascii="Arial" w:hAnsi="Arial" w:cs="Arial"/>
                <w:szCs w:val="20"/>
                <w:lang w:val="es-ES_tradnl"/>
              </w:rPr>
              <w:t xml:space="preserve"> se ha calculado una merma de un 12,5% de la superficie ocupada </w:t>
            </w:r>
            <w:r w:rsidR="00D13D87">
              <w:rPr>
                <w:rFonts w:ascii="Arial" w:hAnsi="Arial" w:cs="Arial"/>
                <w:szCs w:val="20"/>
                <w:lang w:val="es-ES_tradnl"/>
              </w:rPr>
              <w:t>para la red 1x1 Km UTM</w:t>
            </w:r>
            <w:r>
              <w:rPr>
                <w:rFonts w:ascii="Arial" w:hAnsi="Arial" w:cs="Arial"/>
                <w:szCs w:val="20"/>
                <w:lang w:val="es-ES_tradnl"/>
              </w:rPr>
              <w:t xml:space="preserve"> y de</w:t>
            </w:r>
            <w:r w:rsidR="00D13D87">
              <w:rPr>
                <w:rFonts w:ascii="Arial" w:hAnsi="Arial" w:cs="Arial"/>
                <w:szCs w:val="20"/>
                <w:lang w:val="es-ES_tradnl"/>
              </w:rPr>
              <w:t>l</w:t>
            </w:r>
            <w:r>
              <w:rPr>
                <w:rFonts w:ascii="Arial" w:hAnsi="Arial" w:cs="Arial"/>
                <w:szCs w:val="20"/>
                <w:lang w:val="es-ES_tradnl"/>
              </w:rPr>
              <w:t xml:space="preserve"> 8,25% en el caso de la escala m</w:t>
            </w:r>
            <w:r w:rsidR="00D13D87">
              <w:rPr>
                <w:rFonts w:ascii="Arial" w:hAnsi="Arial" w:cs="Arial"/>
                <w:szCs w:val="20"/>
                <w:lang w:val="es-ES_tradnl"/>
              </w:rPr>
              <w:t>ás fina (</w:t>
            </w:r>
            <w:r w:rsidR="00D13D87" w:rsidRPr="00B776B9">
              <w:rPr>
                <w:rFonts w:ascii="Arial" w:hAnsi="Arial" w:cs="Arial"/>
                <w:smallCaps/>
                <w:szCs w:val="20"/>
                <w:lang w:val="es-ES_tradnl"/>
              </w:rPr>
              <w:t>figura 4</w:t>
            </w:r>
            <w:r>
              <w:rPr>
                <w:rFonts w:ascii="Arial" w:hAnsi="Arial" w:cs="Arial"/>
                <w:szCs w:val="20"/>
                <w:lang w:val="es-ES_tradnl"/>
              </w:rPr>
              <w:t>)</w:t>
            </w:r>
            <w:r w:rsidR="001E502C" w:rsidRPr="00AD78FB">
              <w:rPr>
                <w:rFonts w:ascii="Arial" w:hAnsi="Arial" w:cs="Arial"/>
                <w:szCs w:val="20"/>
                <w:lang w:val="es-ES_tradnl"/>
              </w:rPr>
              <w:t xml:space="preserve">. </w:t>
            </w:r>
            <w:r w:rsidR="00D13D87">
              <w:rPr>
                <w:rFonts w:ascii="Arial" w:hAnsi="Arial" w:cs="Arial"/>
                <w:szCs w:val="20"/>
                <w:lang w:val="es-ES_tradnl"/>
              </w:rPr>
              <w:t xml:space="preserve">La distribución que se observa en la </w:t>
            </w:r>
            <w:r w:rsidR="00D13D87" w:rsidRPr="00B776B9">
              <w:rPr>
                <w:rFonts w:ascii="Arial" w:hAnsi="Arial" w:cs="Arial"/>
                <w:smallCaps/>
                <w:szCs w:val="20"/>
                <w:lang w:val="es-ES_tradnl"/>
              </w:rPr>
              <w:t>figura 3</w:t>
            </w:r>
            <w:r w:rsidR="00D13D87">
              <w:rPr>
                <w:rFonts w:ascii="Arial" w:hAnsi="Arial" w:cs="Arial"/>
                <w:szCs w:val="20"/>
                <w:lang w:val="es-ES_tradnl"/>
              </w:rPr>
              <w:t xml:space="preserve"> muestra </w:t>
            </w:r>
            <w:r w:rsidR="001E502C" w:rsidRPr="00AD78FB">
              <w:rPr>
                <w:rFonts w:ascii="Arial" w:hAnsi="Arial" w:cs="Arial"/>
                <w:szCs w:val="20"/>
                <w:lang w:val="es-ES_tradnl"/>
              </w:rPr>
              <w:t>la elevada fragmentación</w:t>
            </w:r>
            <w:r w:rsidR="00D13D87">
              <w:rPr>
                <w:rFonts w:ascii="Arial" w:hAnsi="Arial" w:cs="Arial"/>
                <w:szCs w:val="20"/>
                <w:lang w:val="es-ES_tradnl"/>
              </w:rPr>
              <w:t xml:space="preserve"> y aislamiento</w:t>
            </w:r>
            <w:r w:rsidR="001E502C" w:rsidRPr="00AD78FB">
              <w:rPr>
                <w:rFonts w:ascii="Arial" w:hAnsi="Arial" w:cs="Arial"/>
                <w:szCs w:val="20"/>
                <w:lang w:val="es-ES_tradnl"/>
              </w:rPr>
              <w:t xml:space="preserve"> que existe entre los cinco núcleos poblacionales </w:t>
            </w:r>
            <w:r w:rsidR="00D13D87">
              <w:rPr>
                <w:rFonts w:ascii="Arial" w:hAnsi="Arial" w:cs="Arial"/>
                <w:szCs w:val="20"/>
                <w:lang w:val="es-ES_tradnl"/>
              </w:rPr>
              <w:t>de</w:t>
            </w:r>
            <w:r w:rsidR="001E502C" w:rsidRPr="00AD78FB">
              <w:rPr>
                <w:rFonts w:ascii="Arial" w:hAnsi="Arial" w:cs="Arial"/>
                <w:szCs w:val="20"/>
                <w:lang w:val="es-ES_tradnl"/>
              </w:rPr>
              <w:t xml:space="preserve"> la </w:t>
            </w:r>
            <w:r w:rsidR="00D13D87">
              <w:rPr>
                <w:rFonts w:ascii="Arial" w:hAnsi="Arial" w:cs="Arial"/>
                <w:szCs w:val="20"/>
                <w:lang w:val="es-ES_tradnl"/>
              </w:rPr>
              <w:t>meta</w:t>
            </w:r>
            <w:r w:rsidR="001E502C" w:rsidRPr="00AD78FB">
              <w:rPr>
                <w:rFonts w:ascii="Arial" w:hAnsi="Arial" w:cs="Arial"/>
                <w:szCs w:val="20"/>
                <w:lang w:val="es-ES_tradnl"/>
              </w:rPr>
              <w:t>población de Txingudi. En dos de los núcleos poblaciones (Kostorbe Alde y Arbes) la especie está a</w:t>
            </w:r>
            <w:r w:rsidR="00AD78FB" w:rsidRPr="00AD78FB">
              <w:rPr>
                <w:rFonts w:ascii="Arial" w:hAnsi="Arial" w:cs="Arial"/>
                <w:szCs w:val="20"/>
                <w:lang w:val="es-ES_tradnl"/>
              </w:rPr>
              <w:t>l borde de la extinción</w:t>
            </w:r>
            <w:r w:rsidR="001E502C" w:rsidRPr="00AD78FB">
              <w:rPr>
                <w:rFonts w:ascii="Arial" w:hAnsi="Arial" w:cs="Arial"/>
                <w:szCs w:val="20"/>
                <w:lang w:val="es-ES_tradnl"/>
              </w:rPr>
              <w:t xml:space="preserve">, y a la espera de las obras </w:t>
            </w:r>
            <w:r w:rsidR="00AD78FB" w:rsidRPr="00AD78FB">
              <w:rPr>
                <w:rFonts w:ascii="Arial" w:hAnsi="Arial" w:cs="Arial"/>
                <w:szCs w:val="20"/>
                <w:lang w:val="es-ES_tradnl"/>
              </w:rPr>
              <w:t>de adecuación de la zona de la Trasera de Plaiaundi, la población de Plaiaundi y la de Osinbiribil están en declive (</w:t>
            </w:r>
            <w:r w:rsidR="00AD78FB" w:rsidRPr="00B776B9">
              <w:rPr>
                <w:rFonts w:ascii="Arial" w:hAnsi="Arial" w:cs="Arial"/>
                <w:smallCaps/>
                <w:szCs w:val="20"/>
                <w:lang w:val="es-ES_tradnl"/>
              </w:rPr>
              <w:t>figura 3</w:t>
            </w:r>
            <w:r w:rsidR="00AD78FB" w:rsidRPr="00AD78FB">
              <w:rPr>
                <w:rFonts w:ascii="Arial" w:hAnsi="Arial" w:cs="Arial"/>
                <w:szCs w:val="20"/>
                <w:lang w:val="es-ES_tradnl"/>
              </w:rPr>
              <w:t>). Los únicos núcleos poblacionales al alza son Jaizubia y Zubieta, en los que las medidas de gestión efectuadas y el mantenimiento de uso agroganadero está permitiendo la conservación de la especie.</w:t>
            </w:r>
          </w:p>
          <w:p w14:paraId="0CA055F8" w14:textId="77777777" w:rsidR="001E502C" w:rsidRPr="00AD78FB" w:rsidRDefault="001E502C" w:rsidP="001E502C">
            <w:pPr>
              <w:tabs>
                <w:tab w:val="left" w:pos="780"/>
              </w:tabs>
              <w:spacing w:line="360" w:lineRule="auto"/>
              <w:jc w:val="both"/>
              <w:rPr>
                <w:rFonts w:ascii="Arial" w:hAnsi="Arial" w:cs="Arial"/>
                <w:szCs w:val="20"/>
                <w:lang w:val="es-ES_tradnl"/>
              </w:rPr>
            </w:pPr>
            <w:r w:rsidRPr="00AD78FB">
              <w:rPr>
                <w:rFonts w:ascii="Arial" w:hAnsi="Arial" w:cs="Arial"/>
                <w:noProof/>
                <w:szCs w:val="20"/>
                <w:lang w:eastAsia="es-ES"/>
              </w:rPr>
              <w:drawing>
                <wp:inline distT="0" distB="0" distL="0" distR="0" wp14:anchorId="4CD1881E" wp14:editId="1D5FB3B4">
                  <wp:extent cx="4133850" cy="2790825"/>
                  <wp:effectExtent l="0" t="0" r="0" b="9525"/>
                  <wp:docPr id="9" name="Imagen 9" descr="Mapa_Ecalamita_UTM1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pa_Ecalamita_UTM1x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33850" cy="2790825"/>
                          </a:xfrm>
                          <a:prstGeom prst="rect">
                            <a:avLst/>
                          </a:prstGeom>
                          <a:noFill/>
                          <a:ln>
                            <a:noFill/>
                          </a:ln>
                        </pic:spPr>
                      </pic:pic>
                    </a:graphicData>
                  </a:graphic>
                </wp:inline>
              </w:drawing>
            </w:r>
          </w:p>
          <w:p w14:paraId="7E0ECB01" w14:textId="77777777" w:rsidR="00AD78FB" w:rsidRPr="00347989" w:rsidRDefault="00AD78FB" w:rsidP="00AD78FB">
            <w:pPr>
              <w:widowControl w:val="0"/>
              <w:autoSpaceDE w:val="0"/>
              <w:autoSpaceDN w:val="0"/>
              <w:adjustRightInd w:val="0"/>
              <w:spacing w:after="240" w:line="360" w:lineRule="auto"/>
              <w:ind w:left="44" w:right="351"/>
              <w:jc w:val="both"/>
              <w:rPr>
                <w:rFonts w:ascii="Arial" w:hAnsi="Arial" w:cs="Arial"/>
                <w:sz w:val="18"/>
                <w:szCs w:val="18"/>
                <w:lang w:val="es-ES_tradnl"/>
              </w:rPr>
            </w:pPr>
            <w:r w:rsidRPr="00347989">
              <w:rPr>
                <w:rFonts w:ascii="Arial" w:hAnsi="Arial" w:cs="Arial"/>
                <w:b/>
                <w:sz w:val="18"/>
                <w:szCs w:val="18"/>
                <w:lang w:val="es-ES_tradnl"/>
              </w:rPr>
              <w:t>Figura 2</w:t>
            </w:r>
            <w:r w:rsidRPr="00347989">
              <w:rPr>
                <w:rFonts w:ascii="Arial" w:hAnsi="Arial" w:cs="Arial"/>
                <w:sz w:val="18"/>
                <w:szCs w:val="18"/>
                <w:lang w:val="es-ES_tradnl"/>
              </w:rPr>
              <w:t>. Área de distribución del sapo corredor en el área de Txingudi (macroescala UTM 1x1 km).</w:t>
            </w:r>
          </w:p>
          <w:p w14:paraId="3CB0A15B" w14:textId="77777777" w:rsidR="00AD78FB" w:rsidRPr="00AD78FB" w:rsidRDefault="00AD78FB" w:rsidP="00AD78FB">
            <w:pPr>
              <w:tabs>
                <w:tab w:val="left" w:pos="780"/>
              </w:tabs>
              <w:spacing w:line="360" w:lineRule="auto"/>
              <w:jc w:val="both"/>
              <w:rPr>
                <w:rFonts w:ascii="Arial" w:hAnsi="Arial" w:cs="Arial"/>
                <w:szCs w:val="20"/>
                <w:lang w:val="es-ES_tradnl"/>
              </w:rPr>
            </w:pPr>
            <w:r w:rsidRPr="00AD78FB">
              <w:rPr>
                <w:rFonts w:ascii="Arial" w:hAnsi="Arial" w:cs="Arial"/>
                <w:szCs w:val="20"/>
                <w:lang w:val="es-ES_tradnl"/>
              </w:rPr>
              <w:t>En este intervalo</w:t>
            </w:r>
            <w:r>
              <w:rPr>
                <w:rFonts w:ascii="Arial" w:hAnsi="Arial" w:cs="Arial"/>
                <w:szCs w:val="20"/>
                <w:lang w:val="es-ES_tradnl"/>
              </w:rPr>
              <w:t xml:space="preserve"> de 14</w:t>
            </w:r>
            <w:r w:rsidRPr="00AD78FB">
              <w:rPr>
                <w:rFonts w:ascii="Arial" w:hAnsi="Arial" w:cs="Arial"/>
                <w:szCs w:val="20"/>
                <w:lang w:val="es-ES_tradnl"/>
              </w:rPr>
              <w:t>-1</w:t>
            </w:r>
            <w:r>
              <w:rPr>
                <w:rFonts w:ascii="Arial" w:hAnsi="Arial" w:cs="Arial"/>
                <w:szCs w:val="20"/>
                <w:lang w:val="es-ES_tradnl"/>
              </w:rPr>
              <w:t>5</w:t>
            </w:r>
            <w:r w:rsidRPr="00AD78FB">
              <w:rPr>
                <w:rFonts w:ascii="Arial" w:hAnsi="Arial" w:cs="Arial"/>
                <w:szCs w:val="20"/>
                <w:lang w:val="es-ES_tradnl"/>
              </w:rPr>
              <w:t xml:space="preserve"> años han desaparecido al menos </w:t>
            </w:r>
            <w:r>
              <w:rPr>
                <w:rFonts w:ascii="Arial" w:hAnsi="Arial" w:cs="Arial"/>
                <w:szCs w:val="20"/>
                <w:lang w:val="es-ES_tradnl"/>
              </w:rPr>
              <w:t>tres</w:t>
            </w:r>
            <w:r w:rsidRPr="00AD78FB">
              <w:rPr>
                <w:rFonts w:ascii="Arial" w:hAnsi="Arial" w:cs="Arial"/>
                <w:szCs w:val="20"/>
                <w:lang w:val="es-ES_tradnl"/>
              </w:rPr>
              <w:t xml:space="preserve"> núcleos poblacionales</w:t>
            </w:r>
            <w:r>
              <w:rPr>
                <w:rFonts w:ascii="Arial" w:hAnsi="Arial" w:cs="Arial"/>
                <w:szCs w:val="20"/>
                <w:lang w:val="es-ES_tradnl"/>
              </w:rPr>
              <w:t xml:space="preserve"> (la Trasplaya y el Puntal en Hondarribia) y el núcleo existente junto a la iglesia del Juncal (</w:t>
            </w:r>
            <w:r w:rsidRPr="00B776B9">
              <w:rPr>
                <w:rFonts w:ascii="Arial" w:hAnsi="Arial" w:cs="Arial"/>
                <w:smallCaps/>
                <w:szCs w:val="20"/>
                <w:lang w:val="es-ES_tradnl"/>
              </w:rPr>
              <w:t>figura 3</w:t>
            </w:r>
            <w:r>
              <w:rPr>
                <w:rFonts w:ascii="Arial" w:hAnsi="Arial" w:cs="Arial"/>
                <w:szCs w:val="20"/>
                <w:lang w:val="es-ES_tradnl"/>
              </w:rPr>
              <w:t xml:space="preserve">). Las poblaciones de Arbes y </w:t>
            </w:r>
            <w:r w:rsidRPr="00AD78FB">
              <w:rPr>
                <w:rFonts w:ascii="Arial" w:hAnsi="Arial" w:cs="Arial"/>
                <w:szCs w:val="20"/>
                <w:lang w:val="es-ES_tradnl"/>
              </w:rPr>
              <w:t>Kostorbe Alde está</w:t>
            </w:r>
            <w:r>
              <w:rPr>
                <w:rFonts w:ascii="Arial" w:hAnsi="Arial" w:cs="Arial"/>
                <w:szCs w:val="20"/>
                <w:lang w:val="es-ES_tradnl"/>
              </w:rPr>
              <w:t>n</w:t>
            </w:r>
            <w:r w:rsidRPr="00AD78FB">
              <w:rPr>
                <w:rFonts w:ascii="Arial" w:hAnsi="Arial" w:cs="Arial"/>
                <w:szCs w:val="20"/>
                <w:lang w:val="es-ES_tradnl"/>
              </w:rPr>
              <w:t xml:space="preserve"> al borde de su extinción, por lo que se ha agudizado el aislamiento entre núcleos poblacionales, pudiéndose interconectar únicamente los núcleos de Zubieta </w:t>
            </w:r>
            <w:r>
              <w:rPr>
                <w:rFonts w:ascii="Arial" w:hAnsi="Arial" w:cs="Arial"/>
                <w:szCs w:val="20"/>
                <w:lang w:val="es-ES_tradnl"/>
              </w:rPr>
              <w:t>entre los prados inundados y los cultivos atlánticos, incluyendo la Finca Experimental de Zubieta</w:t>
            </w:r>
            <w:r w:rsidRPr="00AD78FB">
              <w:rPr>
                <w:rFonts w:ascii="Arial" w:hAnsi="Arial" w:cs="Arial"/>
                <w:szCs w:val="20"/>
                <w:lang w:val="es-ES_tradnl"/>
              </w:rPr>
              <w:t>.</w:t>
            </w:r>
          </w:p>
          <w:p w14:paraId="5F2B061C" w14:textId="77777777" w:rsidR="001E502C" w:rsidRPr="00AD78FB" w:rsidRDefault="001E502C" w:rsidP="001E502C">
            <w:pPr>
              <w:tabs>
                <w:tab w:val="left" w:pos="780"/>
              </w:tabs>
              <w:spacing w:line="360" w:lineRule="auto"/>
              <w:jc w:val="both"/>
              <w:rPr>
                <w:rFonts w:ascii="Arial" w:hAnsi="Arial" w:cs="Arial"/>
                <w:szCs w:val="20"/>
                <w:lang w:val="es-ES_tradnl"/>
              </w:rPr>
            </w:pPr>
          </w:p>
          <w:p w14:paraId="10964926" w14:textId="77777777" w:rsidR="001E502C" w:rsidRPr="00AD78FB" w:rsidRDefault="001E502C" w:rsidP="001E502C">
            <w:pPr>
              <w:tabs>
                <w:tab w:val="left" w:pos="780"/>
              </w:tabs>
              <w:spacing w:line="360" w:lineRule="auto"/>
              <w:jc w:val="center"/>
              <w:rPr>
                <w:rFonts w:ascii="Arial" w:hAnsi="Arial" w:cs="Arial"/>
                <w:szCs w:val="20"/>
                <w:lang w:val="es-ES_tradnl"/>
              </w:rPr>
            </w:pPr>
            <w:r w:rsidRPr="00AD78FB">
              <w:rPr>
                <w:rFonts w:ascii="Arial" w:hAnsi="Arial" w:cs="Arial"/>
                <w:noProof/>
                <w:szCs w:val="20"/>
                <w:lang w:eastAsia="es-ES"/>
              </w:rPr>
              <w:drawing>
                <wp:inline distT="0" distB="0" distL="0" distR="0" wp14:anchorId="7B7DBAD5" wp14:editId="2175714C">
                  <wp:extent cx="3960000" cy="5714788"/>
                  <wp:effectExtent l="0" t="0" r="2540" b="635"/>
                  <wp:docPr id="8" name="Imagen 8" descr="Mapa_Congreso_Bilbao_Txingudi_201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pa_Congreso_Bilbao_Txingudi_2012a"/>
                          <pic:cNvPicPr>
                            <a:picLocks noChangeAspect="1" noChangeArrowheads="1"/>
                          </pic:cNvPicPr>
                        </pic:nvPicPr>
                        <pic:blipFill>
                          <a:blip r:embed="rId14" cstate="print">
                            <a:extLst>
                              <a:ext uri="{28A0092B-C50C-407E-A947-70E740481C1C}">
                                <a14:useLocalDpi xmlns:a14="http://schemas.microsoft.com/office/drawing/2010/main" val="0"/>
                              </a:ext>
                            </a:extLst>
                          </a:blip>
                          <a:srcRect l="3311" t="2341" r="3532" b="2499"/>
                          <a:stretch>
                            <a:fillRect/>
                          </a:stretch>
                        </pic:blipFill>
                        <pic:spPr bwMode="auto">
                          <a:xfrm>
                            <a:off x="0" y="0"/>
                            <a:ext cx="3960000" cy="5714788"/>
                          </a:xfrm>
                          <a:prstGeom prst="rect">
                            <a:avLst/>
                          </a:prstGeom>
                          <a:noFill/>
                          <a:ln>
                            <a:noFill/>
                          </a:ln>
                        </pic:spPr>
                      </pic:pic>
                    </a:graphicData>
                  </a:graphic>
                </wp:inline>
              </w:drawing>
            </w:r>
          </w:p>
          <w:p w14:paraId="7080FCA3" w14:textId="77777777" w:rsidR="001E502C" w:rsidRPr="00347989" w:rsidRDefault="00235D92" w:rsidP="0083047C">
            <w:pPr>
              <w:tabs>
                <w:tab w:val="left" w:pos="328"/>
              </w:tabs>
              <w:spacing w:line="360" w:lineRule="auto"/>
              <w:ind w:left="328" w:right="209"/>
              <w:jc w:val="both"/>
              <w:rPr>
                <w:rFonts w:ascii="Arial" w:hAnsi="Arial" w:cs="Arial"/>
                <w:sz w:val="18"/>
                <w:szCs w:val="18"/>
                <w:lang w:val="es-ES_tradnl"/>
              </w:rPr>
            </w:pPr>
            <w:r w:rsidRPr="00347989">
              <w:rPr>
                <w:rFonts w:ascii="Arial" w:hAnsi="Arial" w:cs="Arial"/>
                <w:b/>
                <w:sz w:val="18"/>
                <w:szCs w:val="18"/>
                <w:lang w:val="es-ES_tradnl"/>
              </w:rPr>
              <w:t>Figura 3</w:t>
            </w:r>
            <w:r w:rsidR="001E502C" w:rsidRPr="00347989">
              <w:rPr>
                <w:rFonts w:ascii="Arial" w:hAnsi="Arial" w:cs="Arial"/>
                <w:b/>
                <w:sz w:val="18"/>
                <w:szCs w:val="18"/>
                <w:lang w:val="es-ES_tradnl"/>
              </w:rPr>
              <w:t>.</w:t>
            </w:r>
            <w:r w:rsidR="001E502C" w:rsidRPr="00347989">
              <w:rPr>
                <w:rFonts w:ascii="Arial" w:hAnsi="Arial" w:cs="Arial"/>
                <w:sz w:val="18"/>
                <w:szCs w:val="18"/>
                <w:lang w:val="es-ES_tradnl"/>
              </w:rPr>
              <w:t xml:space="preserve"> Los núcleos poblaciones de la población de Txingudi. En rojo los que han desaparecido en azul los persistentes y en verde los de reciente colonización. (1) Trasplaya. (2) El Puntal. (3) Jaizubia. (4) Plaiaundi. (5) Prados de Zubieta. (6) Cultivos de Zubieta. (7) Kostorbe Alde. (8) Osinbiribil. (9) Arbes. (10) Juncal.</w:t>
            </w:r>
          </w:p>
          <w:p w14:paraId="17204F88" w14:textId="77777777" w:rsidR="001E502C" w:rsidRPr="00AD78FB" w:rsidRDefault="001E502C" w:rsidP="00235D92">
            <w:pPr>
              <w:tabs>
                <w:tab w:val="left" w:pos="780"/>
              </w:tabs>
              <w:spacing w:line="360" w:lineRule="auto"/>
              <w:jc w:val="center"/>
              <w:rPr>
                <w:rFonts w:ascii="Arial" w:hAnsi="Arial" w:cs="Arial"/>
                <w:noProof/>
                <w:szCs w:val="20"/>
              </w:rPr>
            </w:pPr>
            <w:r w:rsidRPr="00AD78FB">
              <w:rPr>
                <w:rFonts w:ascii="Arial" w:hAnsi="Arial" w:cs="Arial"/>
                <w:noProof/>
                <w:szCs w:val="20"/>
                <w:lang w:eastAsia="es-ES"/>
              </w:rPr>
              <w:drawing>
                <wp:inline distT="0" distB="0" distL="0" distR="0" wp14:anchorId="31882416" wp14:editId="4EDD31AA">
                  <wp:extent cx="3960495" cy="4117975"/>
                  <wp:effectExtent l="0" t="0" r="1905" b="15875"/>
                  <wp:docPr id="7" name="Gráfico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D97CB2E" w14:textId="77777777" w:rsidR="001E502C" w:rsidRPr="00347989" w:rsidRDefault="00235D92" w:rsidP="00235D92">
            <w:pPr>
              <w:widowControl w:val="0"/>
              <w:autoSpaceDE w:val="0"/>
              <w:autoSpaceDN w:val="0"/>
              <w:adjustRightInd w:val="0"/>
              <w:spacing w:after="240" w:line="360" w:lineRule="auto"/>
              <w:ind w:left="44" w:right="67"/>
              <w:jc w:val="both"/>
              <w:rPr>
                <w:rFonts w:ascii="Arial" w:hAnsi="Arial" w:cs="Arial"/>
                <w:noProof/>
                <w:sz w:val="18"/>
                <w:szCs w:val="18"/>
              </w:rPr>
            </w:pPr>
            <w:r w:rsidRPr="00347989">
              <w:rPr>
                <w:rFonts w:ascii="Arial" w:hAnsi="Arial" w:cs="Arial"/>
                <w:b/>
                <w:noProof/>
                <w:sz w:val="18"/>
                <w:szCs w:val="18"/>
              </w:rPr>
              <w:t>Figura 4</w:t>
            </w:r>
            <w:r w:rsidRPr="00347989">
              <w:rPr>
                <w:rFonts w:ascii="Arial" w:hAnsi="Arial" w:cs="Arial"/>
                <w:noProof/>
                <w:sz w:val="18"/>
                <w:szCs w:val="18"/>
              </w:rPr>
              <w:t>. Superficie ocupada por el sapo corredor en el área de Txingudi a comienzos del siglo XXI (parte izquierda) y en 2019 (parte derecha).</w:t>
            </w:r>
          </w:p>
          <w:p w14:paraId="535A7515" w14:textId="77777777" w:rsidR="00235D92" w:rsidRPr="00235D92" w:rsidRDefault="00235D92" w:rsidP="00235D92">
            <w:pPr>
              <w:widowControl w:val="0"/>
              <w:autoSpaceDE w:val="0"/>
              <w:autoSpaceDN w:val="0"/>
              <w:adjustRightInd w:val="0"/>
              <w:spacing w:after="240" w:line="360" w:lineRule="auto"/>
              <w:ind w:left="44" w:right="67"/>
              <w:jc w:val="both"/>
              <w:rPr>
                <w:rFonts w:ascii="Arial" w:eastAsia="Times New Roman" w:hAnsi="Arial" w:cs="Arial"/>
                <w:szCs w:val="20"/>
                <w:lang w:eastAsia="es-ES"/>
              </w:rPr>
            </w:pPr>
          </w:p>
          <w:p w14:paraId="504A8A82" w14:textId="75803A22" w:rsidR="00235D92" w:rsidRPr="00AD78FB" w:rsidRDefault="00235D92" w:rsidP="00235D92">
            <w:pPr>
              <w:pStyle w:val="Prrafodelista"/>
              <w:widowControl w:val="0"/>
              <w:numPr>
                <w:ilvl w:val="0"/>
                <w:numId w:val="13"/>
              </w:numPr>
              <w:autoSpaceDE w:val="0"/>
              <w:autoSpaceDN w:val="0"/>
              <w:adjustRightInd w:val="0"/>
              <w:spacing w:after="240" w:line="360" w:lineRule="auto"/>
              <w:ind w:right="67"/>
              <w:jc w:val="both"/>
              <w:rPr>
                <w:rFonts w:ascii="Arial" w:hAnsi="Arial" w:cs="Arial"/>
                <w:b/>
                <w:szCs w:val="20"/>
                <w:lang w:val="es-ES_tradnl"/>
              </w:rPr>
            </w:pPr>
            <w:r>
              <w:rPr>
                <w:rFonts w:ascii="Arial" w:hAnsi="Arial" w:cs="Arial"/>
                <w:b/>
                <w:szCs w:val="20"/>
                <w:lang w:val="es-ES_tradnl"/>
              </w:rPr>
              <w:t xml:space="preserve">Población del arenal de </w:t>
            </w:r>
            <w:r w:rsidR="00D13D87">
              <w:rPr>
                <w:rFonts w:ascii="Arial" w:hAnsi="Arial" w:cs="Arial"/>
                <w:b/>
                <w:szCs w:val="20"/>
                <w:lang w:val="es-ES_tradnl"/>
              </w:rPr>
              <w:t>Gorrondatxe</w:t>
            </w:r>
            <w:r>
              <w:rPr>
                <w:rFonts w:ascii="Arial" w:hAnsi="Arial" w:cs="Arial"/>
                <w:b/>
                <w:szCs w:val="20"/>
                <w:lang w:val="es-ES_tradnl"/>
              </w:rPr>
              <w:t xml:space="preserve"> y alrededores</w:t>
            </w:r>
          </w:p>
          <w:p w14:paraId="56B07BEF" w14:textId="43A6862E" w:rsidR="009F4140" w:rsidRDefault="00D14D95" w:rsidP="009F4140">
            <w:pPr>
              <w:pStyle w:val="Default"/>
              <w:spacing w:line="360" w:lineRule="auto"/>
              <w:ind w:right="67"/>
              <w:jc w:val="both"/>
              <w:rPr>
                <w:sz w:val="22"/>
                <w:szCs w:val="22"/>
              </w:rPr>
            </w:pPr>
            <w:r>
              <w:rPr>
                <w:sz w:val="22"/>
                <w:szCs w:val="22"/>
                <w:lang w:val="es-ES_tradnl"/>
              </w:rPr>
              <w:t xml:space="preserve">Las primeras </w:t>
            </w:r>
            <w:r w:rsidR="009F4140" w:rsidRPr="009F4140">
              <w:rPr>
                <w:sz w:val="22"/>
                <w:szCs w:val="22"/>
                <w:lang w:val="es-ES_tradnl"/>
              </w:rPr>
              <w:t>evidencias sobre la</w:t>
            </w:r>
            <w:r>
              <w:rPr>
                <w:sz w:val="22"/>
                <w:szCs w:val="22"/>
                <w:lang w:val="es-ES_tradnl"/>
              </w:rPr>
              <w:t xml:space="preserve"> presencia de la especie en </w:t>
            </w:r>
            <w:r w:rsidR="0010223D">
              <w:rPr>
                <w:sz w:val="22"/>
                <w:szCs w:val="22"/>
                <w:lang w:val="es-ES_tradnl"/>
              </w:rPr>
              <w:t>Getxo</w:t>
            </w:r>
            <w:r>
              <w:rPr>
                <w:sz w:val="22"/>
                <w:szCs w:val="22"/>
                <w:lang w:val="es-ES_tradnl"/>
              </w:rPr>
              <w:t xml:space="preserve"> datan de</w:t>
            </w:r>
            <w:r w:rsidR="009F4140" w:rsidRPr="009F4140">
              <w:rPr>
                <w:sz w:val="22"/>
                <w:szCs w:val="22"/>
                <w:lang w:val="es-ES_tradnl"/>
              </w:rPr>
              <w:t xml:space="preserve"> la década de los 70 (</w:t>
            </w:r>
            <w:r w:rsidR="009F4140" w:rsidRPr="00B776B9">
              <w:rPr>
                <w:smallCaps/>
                <w:sz w:val="22"/>
                <w:szCs w:val="22"/>
                <w:lang w:val="es-ES_tradnl"/>
              </w:rPr>
              <w:t>Beltrán &amp; Rodríguez-Rodríguez</w:t>
            </w:r>
            <w:r w:rsidR="009F4140" w:rsidRPr="009F4140">
              <w:rPr>
                <w:sz w:val="22"/>
                <w:szCs w:val="22"/>
                <w:lang w:val="es-ES_tradnl"/>
              </w:rPr>
              <w:t xml:space="preserve">, </w:t>
            </w:r>
            <w:r w:rsidR="00204D28" w:rsidRPr="005748E7">
              <w:rPr>
                <w:i/>
                <w:sz w:val="22"/>
                <w:szCs w:val="22"/>
                <w:lang w:val="es-ES_tradnl"/>
              </w:rPr>
              <w:t>en prensa</w:t>
            </w:r>
            <w:r w:rsidR="009F4140" w:rsidRPr="005748E7">
              <w:rPr>
                <w:sz w:val="22"/>
                <w:szCs w:val="22"/>
                <w:lang w:val="es-ES_tradnl"/>
              </w:rPr>
              <w:t>)</w:t>
            </w:r>
            <w:r w:rsidR="005748E7" w:rsidRPr="005748E7">
              <w:rPr>
                <w:sz w:val="22"/>
                <w:szCs w:val="22"/>
                <w:lang w:val="es-ES_tradnl"/>
              </w:rPr>
              <w:t>. La especie también fue citada en Erandi</w:t>
            </w:r>
            <w:r w:rsidR="005748E7" w:rsidRPr="00B776B9">
              <w:rPr>
                <w:sz w:val="22"/>
                <w:szCs w:val="22"/>
                <w:lang w:val="es-ES_tradnl"/>
              </w:rPr>
              <w:t>o (</w:t>
            </w:r>
            <w:r w:rsidR="00D544A4" w:rsidRPr="00B776B9">
              <w:rPr>
                <w:smallCaps/>
                <w:sz w:val="22"/>
                <w:szCs w:val="22"/>
                <w:lang w:val="es-ES_tradnl"/>
              </w:rPr>
              <w:t>Miró, 1976</w:t>
            </w:r>
            <w:r w:rsidR="005748E7" w:rsidRPr="00B776B9">
              <w:rPr>
                <w:sz w:val="22"/>
                <w:szCs w:val="22"/>
                <w:lang w:val="es-ES_tradnl"/>
              </w:rPr>
              <w:t>),</w:t>
            </w:r>
            <w:r w:rsidR="005748E7" w:rsidRPr="005748E7">
              <w:rPr>
                <w:sz w:val="22"/>
                <w:szCs w:val="22"/>
                <w:lang w:val="es-ES_tradnl"/>
              </w:rPr>
              <w:t xml:space="preserve"> que </w:t>
            </w:r>
            <w:r w:rsidR="005748E7" w:rsidRPr="0010223D">
              <w:rPr>
                <w:sz w:val="22"/>
                <w:szCs w:val="22"/>
              </w:rPr>
              <w:t xml:space="preserve">se encuentra a menos de 10 km de distancia de </w:t>
            </w:r>
            <w:r w:rsidR="0010223D">
              <w:rPr>
                <w:sz w:val="22"/>
                <w:szCs w:val="22"/>
              </w:rPr>
              <w:t>la anterior, por lo que</w:t>
            </w:r>
            <w:r w:rsidR="005748E7" w:rsidRPr="0010223D">
              <w:rPr>
                <w:sz w:val="22"/>
                <w:szCs w:val="22"/>
              </w:rPr>
              <w:t xml:space="preserve"> en el pasado la población debió </w:t>
            </w:r>
            <w:r w:rsidR="0010223D">
              <w:rPr>
                <w:sz w:val="22"/>
                <w:szCs w:val="22"/>
              </w:rPr>
              <w:t xml:space="preserve">ocupar una mayor </w:t>
            </w:r>
            <w:r w:rsidR="0010223D" w:rsidRPr="0010223D">
              <w:rPr>
                <w:sz w:val="22"/>
                <w:szCs w:val="22"/>
              </w:rPr>
              <w:t>extensi</w:t>
            </w:r>
            <w:r w:rsidR="0010223D">
              <w:rPr>
                <w:sz w:val="22"/>
                <w:szCs w:val="22"/>
              </w:rPr>
              <w:t>ón</w:t>
            </w:r>
            <w:r w:rsidR="005748E7" w:rsidRPr="0010223D">
              <w:rPr>
                <w:sz w:val="22"/>
                <w:szCs w:val="22"/>
              </w:rPr>
              <w:t xml:space="preserve">, </w:t>
            </w:r>
            <w:r w:rsidR="0010223D">
              <w:rPr>
                <w:sz w:val="22"/>
                <w:szCs w:val="22"/>
              </w:rPr>
              <w:t>contrayéndose</w:t>
            </w:r>
            <w:r w:rsidR="005748E7" w:rsidRPr="0010223D">
              <w:rPr>
                <w:sz w:val="22"/>
                <w:szCs w:val="22"/>
              </w:rPr>
              <w:t xml:space="preserve"> </w:t>
            </w:r>
            <w:r w:rsidR="0010223D">
              <w:rPr>
                <w:sz w:val="22"/>
                <w:szCs w:val="22"/>
              </w:rPr>
              <w:t xml:space="preserve">posteriormente </w:t>
            </w:r>
            <w:r w:rsidR="005748E7" w:rsidRPr="0010223D">
              <w:rPr>
                <w:sz w:val="22"/>
                <w:szCs w:val="22"/>
              </w:rPr>
              <w:t xml:space="preserve">hasta quedar </w:t>
            </w:r>
            <w:r w:rsidR="0010223D">
              <w:rPr>
                <w:sz w:val="22"/>
                <w:szCs w:val="22"/>
              </w:rPr>
              <w:t xml:space="preserve">actualmente </w:t>
            </w:r>
            <w:r w:rsidR="005748E7" w:rsidRPr="0010223D">
              <w:rPr>
                <w:sz w:val="22"/>
                <w:szCs w:val="22"/>
              </w:rPr>
              <w:t xml:space="preserve">en el </w:t>
            </w:r>
            <w:r w:rsidR="0010223D">
              <w:rPr>
                <w:sz w:val="22"/>
                <w:szCs w:val="22"/>
              </w:rPr>
              <w:t xml:space="preserve">entorno del </w:t>
            </w:r>
            <w:r w:rsidR="005748E7" w:rsidRPr="0010223D">
              <w:rPr>
                <w:sz w:val="22"/>
                <w:szCs w:val="22"/>
              </w:rPr>
              <w:t xml:space="preserve">arenal </w:t>
            </w:r>
            <w:r w:rsidR="0010223D">
              <w:rPr>
                <w:sz w:val="22"/>
                <w:szCs w:val="22"/>
              </w:rPr>
              <w:t>de Gorrondatxe</w:t>
            </w:r>
            <w:r w:rsidR="005748E7" w:rsidRPr="0010223D">
              <w:rPr>
                <w:sz w:val="22"/>
                <w:szCs w:val="22"/>
              </w:rPr>
              <w:t>, a consecuencia</w:t>
            </w:r>
            <w:r w:rsidRPr="005748E7">
              <w:rPr>
                <w:sz w:val="22"/>
                <w:szCs w:val="22"/>
                <w:lang w:val="es-ES_tradnl"/>
              </w:rPr>
              <w:t xml:space="preserve"> </w:t>
            </w:r>
            <w:r w:rsidR="0010223D">
              <w:rPr>
                <w:sz w:val="22"/>
                <w:szCs w:val="22"/>
                <w:lang w:val="es-ES_tradnl"/>
              </w:rPr>
              <w:t>probablemente de la pérdida de hábitat. Sin embargo, la población</w:t>
            </w:r>
            <w:r w:rsidR="009F4140" w:rsidRPr="009F4140">
              <w:rPr>
                <w:sz w:val="22"/>
                <w:szCs w:val="22"/>
                <w:lang w:val="es-ES_tradnl"/>
              </w:rPr>
              <w:t xml:space="preserve"> no se comenzó a evaluar hasta el año 2005-2006</w:t>
            </w:r>
            <w:r>
              <w:rPr>
                <w:sz w:val="22"/>
                <w:szCs w:val="22"/>
                <w:lang w:val="es-ES_tradnl"/>
              </w:rPr>
              <w:t xml:space="preserve">, cuando </w:t>
            </w:r>
            <w:r w:rsidR="0010223D">
              <w:rPr>
                <w:sz w:val="22"/>
                <w:szCs w:val="22"/>
                <w:lang w:val="es-ES_tradnl"/>
              </w:rPr>
              <w:t>su</w:t>
            </w:r>
            <w:r>
              <w:rPr>
                <w:sz w:val="22"/>
                <w:szCs w:val="22"/>
                <w:lang w:val="es-ES_tradnl"/>
              </w:rPr>
              <w:t xml:space="preserve"> situación era terminal</w:t>
            </w:r>
            <w:r w:rsidR="009F4140" w:rsidRPr="009F4140">
              <w:rPr>
                <w:sz w:val="22"/>
                <w:szCs w:val="22"/>
                <w:lang w:val="es-ES_tradnl"/>
              </w:rPr>
              <w:t xml:space="preserve">. </w:t>
            </w:r>
            <w:r>
              <w:rPr>
                <w:sz w:val="22"/>
                <w:szCs w:val="22"/>
              </w:rPr>
              <w:t xml:space="preserve">Ésta se encontraba </w:t>
            </w:r>
            <w:r w:rsidR="009F4140" w:rsidRPr="009F4140">
              <w:rPr>
                <w:sz w:val="22"/>
                <w:szCs w:val="22"/>
              </w:rPr>
              <w:t>recluida en un único punto (el arenal</w:t>
            </w:r>
            <w:r w:rsidR="009F4140">
              <w:rPr>
                <w:sz w:val="22"/>
                <w:szCs w:val="22"/>
              </w:rPr>
              <w:t xml:space="preserve"> de </w:t>
            </w:r>
            <w:r>
              <w:rPr>
                <w:sz w:val="22"/>
                <w:szCs w:val="22"/>
              </w:rPr>
              <w:t>Gorrindatxe</w:t>
            </w:r>
            <w:r w:rsidR="00536694">
              <w:rPr>
                <w:sz w:val="22"/>
                <w:szCs w:val="22"/>
              </w:rPr>
              <w:t xml:space="preserve">; </w:t>
            </w:r>
            <w:r w:rsidR="00536694" w:rsidRPr="00B776B9">
              <w:rPr>
                <w:smallCaps/>
                <w:sz w:val="22"/>
                <w:szCs w:val="22"/>
              </w:rPr>
              <w:t>figura 5</w:t>
            </w:r>
            <w:r w:rsidR="009F4140" w:rsidRPr="009F4140">
              <w:rPr>
                <w:sz w:val="22"/>
                <w:szCs w:val="22"/>
              </w:rPr>
              <w:t>), con un área de distribución muy reducida (inferior a las seis hectáreas</w:t>
            </w:r>
            <w:r w:rsidR="00536694">
              <w:rPr>
                <w:sz w:val="22"/>
                <w:szCs w:val="22"/>
              </w:rPr>
              <w:t xml:space="preserve">; </w:t>
            </w:r>
            <w:r w:rsidR="00536694" w:rsidRPr="00B776B9">
              <w:rPr>
                <w:smallCaps/>
                <w:sz w:val="22"/>
                <w:szCs w:val="22"/>
              </w:rPr>
              <w:t>figura 5</w:t>
            </w:r>
            <w:r w:rsidR="009F4140" w:rsidRPr="009F4140">
              <w:rPr>
                <w:sz w:val="22"/>
                <w:szCs w:val="22"/>
              </w:rPr>
              <w:t>) y un tamaño</w:t>
            </w:r>
            <w:r>
              <w:rPr>
                <w:sz w:val="22"/>
                <w:szCs w:val="22"/>
              </w:rPr>
              <w:t xml:space="preserve"> poblacional</w:t>
            </w:r>
            <w:r w:rsidR="009F4140" w:rsidRPr="009F4140">
              <w:rPr>
                <w:sz w:val="22"/>
                <w:szCs w:val="22"/>
              </w:rPr>
              <w:t xml:space="preserve"> situado muy por debajo de los umbrales usualmente manejados para determinar el mínimo viable de supervivencia (</w:t>
            </w:r>
            <w:r w:rsidR="00536694" w:rsidRPr="00B776B9">
              <w:rPr>
                <w:smallCaps/>
                <w:sz w:val="22"/>
                <w:szCs w:val="22"/>
              </w:rPr>
              <w:t>Lochram</w:t>
            </w:r>
            <w:r w:rsidR="00536694">
              <w:rPr>
                <w:sz w:val="22"/>
                <w:szCs w:val="22"/>
              </w:rPr>
              <w:t xml:space="preserve"> </w:t>
            </w:r>
            <w:r w:rsidR="00536694" w:rsidRPr="00536694">
              <w:rPr>
                <w:i/>
                <w:sz w:val="22"/>
                <w:szCs w:val="22"/>
              </w:rPr>
              <w:t>et al</w:t>
            </w:r>
            <w:r w:rsidR="00536694">
              <w:rPr>
                <w:sz w:val="22"/>
                <w:szCs w:val="22"/>
              </w:rPr>
              <w:t>., 20</w:t>
            </w:r>
            <w:r w:rsidR="00C33E27">
              <w:rPr>
                <w:sz w:val="22"/>
                <w:szCs w:val="22"/>
              </w:rPr>
              <w:t>07</w:t>
            </w:r>
            <w:r w:rsidR="009F4140" w:rsidRPr="009F4140">
              <w:rPr>
                <w:sz w:val="22"/>
                <w:szCs w:val="22"/>
              </w:rPr>
              <w:t xml:space="preserve">). </w:t>
            </w:r>
            <w:r w:rsidR="00A11AE5">
              <w:rPr>
                <w:sz w:val="22"/>
                <w:szCs w:val="22"/>
              </w:rPr>
              <w:t>Además</w:t>
            </w:r>
            <w:r w:rsidR="009F4140" w:rsidRPr="009F4140">
              <w:rPr>
                <w:sz w:val="22"/>
                <w:szCs w:val="22"/>
              </w:rPr>
              <w:t>, la población mostraba un fuerte envejecimiento y desestructuración (</w:t>
            </w:r>
            <w:r w:rsidR="00536694" w:rsidRPr="00B776B9">
              <w:rPr>
                <w:smallCaps/>
                <w:sz w:val="22"/>
                <w:szCs w:val="22"/>
              </w:rPr>
              <w:t>Garin-Barrio</w:t>
            </w:r>
            <w:r w:rsidR="00536694">
              <w:rPr>
                <w:sz w:val="22"/>
                <w:szCs w:val="22"/>
              </w:rPr>
              <w:t xml:space="preserve"> </w:t>
            </w:r>
            <w:r w:rsidR="00536694" w:rsidRPr="00536694">
              <w:rPr>
                <w:i/>
                <w:sz w:val="22"/>
                <w:szCs w:val="22"/>
              </w:rPr>
              <w:t>et al</w:t>
            </w:r>
            <w:r w:rsidR="00536694">
              <w:rPr>
                <w:sz w:val="22"/>
                <w:szCs w:val="22"/>
              </w:rPr>
              <w:t>., 2007</w:t>
            </w:r>
            <w:r w:rsidR="009F4140" w:rsidRPr="009F4140">
              <w:rPr>
                <w:sz w:val="22"/>
                <w:szCs w:val="22"/>
              </w:rPr>
              <w:t>),</w:t>
            </w:r>
            <w:r w:rsidR="00A11AE5">
              <w:rPr>
                <w:sz w:val="22"/>
                <w:szCs w:val="22"/>
              </w:rPr>
              <w:t xml:space="preserve"> y ningún humedal del entorno mostraba características adecuadas para su reproducción,</w:t>
            </w:r>
            <w:r w:rsidR="009F4140" w:rsidRPr="009F4140">
              <w:rPr>
                <w:sz w:val="22"/>
                <w:szCs w:val="22"/>
              </w:rPr>
              <w:t xml:space="preserve"> </w:t>
            </w:r>
            <w:r w:rsidR="00A11AE5">
              <w:rPr>
                <w:sz w:val="22"/>
                <w:szCs w:val="22"/>
              </w:rPr>
              <w:t xml:space="preserve">lo </w:t>
            </w:r>
            <w:r w:rsidR="009F4140" w:rsidRPr="009F4140">
              <w:rPr>
                <w:sz w:val="22"/>
                <w:szCs w:val="22"/>
              </w:rPr>
              <w:t>que augur</w:t>
            </w:r>
            <w:r w:rsidR="009F4140">
              <w:rPr>
                <w:sz w:val="22"/>
                <w:szCs w:val="22"/>
              </w:rPr>
              <w:t>aba su inminente desaparición.</w:t>
            </w:r>
          </w:p>
          <w:p w14:paraId="58D9791D" w14:textId="77777777" w:rsidR="00536694" w:rsidRDefault="00536694" w:rsidP="00536694">
            <w:pPr>
              <w:pStyle w:val="Default"/>
              <w:spacing w:line="360" w:lineRule="auto"/>
              <w:ind w:right="67"/>
              <w:jc w:val="center"/>
              <w:rPr>
                <w:b/>
                <w:sz w:val="22"/>
                <w:szCs w:val="22"/>
                <w:highlight w:val="yellow"/>
              </w:rPr>
            </w:pPr>
            <w:r>
              <w:rPr>
                <w:b/>
                <w:noProof/>
                <w:sz w:val="22"/>
                <w:szCs w:val="22"/>
                <w:lang w:eastAsia="es-ES"/>
              </w:rPr>
              <w:drawing>
                <wp:inline distT="0" distB="0" distL="0" distR="0" wp14:anchorId="16C72026" wp14:editId="4436A0F1">
                  <wp:extent cx="4103089" cy="2760453"/>
                  <wp:effectExtent l="0" t="0" r="0" b="190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apa_Congreso_Bilbao_2012.tif"/>
                          <pic:cNvPicPr/>
                        </pic:nvPicPr>
                        <pic:blipFill rotWithShape="1">
                          <a:blip r:embed="rId16" cstate="print">
                            <a:extLst>
                              <a:ext uri="{28A0092B-C50C-407E-A947-70E740481C1C}">
                                <a14:useLocalDpi xmlns:a14="http://schemas.microsoft.com/office/drawing/2010/main" val="0"/>
                              </a:ext>
                            </a:extLst>
                          </a:blip>
                          <a:srcRect t="24672" b="27766"/>
                          <a:stretch/>
                        </pic:blipFill>
                        <pic:spPr bwMode="auto">
                          <a:xfrm>
                            <a:off x="0" y="0"/>
                            <a:ext cx="4104000" cy="2761066"/>
                          </a:xfrm>
                          <a:prstGeom prst="rect">
                            <a:avLst/>
                          </a:prstGeom>
                          <a:ln>
                            <a:noFill/>
                          </a:ln>
                          <a:extLst>
                            <a:ext uri="{53640926-AAD7-44D8-BBD7-CCE9431645EC}">
                              <a14:shadowObscured xmlns:a14="http://schemas.microsoft.com/office/drawing/2010/main"/>
                            </a:ext>
                          </a:extLst>
                        </pic:spPr>
                      </pic:pic>
                    </a:graphicData>
                  </a:graphic>
                </wp:inline>
              </w:drawing>
            </w:r>
          </w:p>
          <w:p w14:paraId="2A08341D" w14:textId="746959E8" w:rsidR="00536694" w:rsidRPr="00347989" w:rsidRDefault="0009550C" w:rsidP="00B776B9">
            <w:pPr>
              <w:pStyle w:val="Default"/>
              <w:spacing w:line="360" w:lineRule="auto"/>
              <w:ind w:left="386" w:right="434"/>
              <w:jc w:val="both"/>
              <w:rPr>
                <w:sz w:val="18"/>
                <w:szCs w:val="18"/>
              </w:rPr>
            </w:pPr>
            <w:r w:rsidRPr="00347989">
              <w:rPr>
                <w:b/>
                <w:sz w:val="18"/>
                <w:szCs w:val="18"/>
              </w:rPr>
              <w:t>Figura 5</w:t>
            </w:r>
            <w:r w:rsidRPr="00347989">
              <w:rPr>
                <w:sz w:val="18"/>
                <w:szCs w:val="18"/>
              </w:rPr>
              <w:t xml:space="preserve">. El área de distribución del sapo corredor en el arenal de </w:t>
            </w:r>
            <w:r w:rsidR="00A11AE5" w:rsidRPr="00347989">
              <w:rPr>
                <w:sz w:val="18"/>
                <w:szCs w:val="18"/>
              </w:rPr>
              <w:t xml:space="preserve">Gorrondantxe </w:t>
            </w:r>
            <w:r w:rsidRPr="00347989">
              <w:rPr>
                <w:sz w:val="18"/>
                <w:szCs w:val="18"/>
              </w:rPr>
              <w:t>al comienzo del siglo XXI (color rojo) y el área de distribución máxima obtenida por la población en (2009-2010). En la actualidad la situación es un tanto intermedia</w:t>
            </w:r>
            <w:r w:rsidR="00A11AE5" w:rsidRPr="00347989">
              <w:rPr>
                <w:sz w:val="18"/>
                <w:szCs w:val="18"/>
              </w:rPr>
              <w:t>. La población</w:t>
            </w:r>
            <w:r w:rsidRPr="00347989">
              <w:rPr>
                <w:sz w:val="18"/>
                <w:szCs w:val="18"/>
              </w:rPr>
              <w:t xml:space="preserve"> se reproduce </w:t>
            </w:r>
            <w:r w:rsidR="00A11AE5" w:rsidRPr="00347989">
              <w:rPr>
                <w:sz w:val="18"/>
                <w:szCs w:val="18"/>
              </w:rPr>
              <w:t>únicamente en un punto del</w:t>
            </w:r>
            <w:r w:rsidRPr="00347989">
              <w:rPr>
                <w:sz w:val="18"/>
                <w:szCs w:val="18"/>
              </w:rPr>
              <w:t xml:space="preserve"> arenal y la presencia de individuos fuera del arenal es testimonial.</w:t>
            </w:r>
          </w:p>
          <w:p w14:paraId="56AFA8A9" w14:textId="40EDB33F" w:rsidR="0009550C" w:rsidRDefault="0051214D" w:rsidP="00536694">
            <w:pPr>
              <w:autoSpaceDE w:val="0"/>
              <w:autoSpaceDN w:val="0"/>
              <w:adjustRightInd w:val="0"/>
              <w:spacing w:line="360" w:lineRule="auto"/>
              <w:ind w:right="67"/>
              <w:jc w:val="both"/>
              <w:rPr>
                <w:rFonts w:ascii="Arial" w:hAnsi="Arial" w:cs="Arial"/>
                <w:color w:val="000000"/>
              </w:rPr>
            </w:pPr>
            <w:r>
              <w:rPr>
                <w:rFonts w:ascii="Arial" w:hAnsi="Arial" w:cs="Arial"/>
                <w:color w:val="000000"/>
              </w:rPr>
              <w:t>Las</w:t>
            </w:r>
            <w:r w:rsidR="009F4140" w:rsidRPr="009F4140">
              <w:rPr>
                <w:rFonts w:ascii="Arial" w:hAnsi="Arial" w:cs="Arial"/>
                <w:color w:val="000000"/>
              </w:rPr>
              <w:t xml:space="preserve"> acciones emprendidas en 2006 por la Sociedad de Ciencias Aranzadi con la colaboración del Ayuntamiento de Getxo para la conservación de esta población (traslocación de puestas y renacuajos), y especialmente las acometidas para la recuperación del hábitat de reproducción (creación y acondicionamiento de charcas), surtieron el efecto deseado. La respuesta fue inmediata y ya desde 2006 se inició un proceso de recuperación</w:t>
            </w:r>
            <w:r w:rsidR="0037769B">
              <w:rPr>
                <w:rFonts w:ascii="Arial" w:hAnsi="Arial" w:cs="Arial"/>
                <w:color w:val="000000"/>
              </w:rPr>
              <w:t>, como lo muestran</w:t>
            </w:r>
            <w:r w:rsidR="009F4140" w:rsidRPr="009F4140">
              <w:rPr>
                <w:rFonts w:ascii="Arial" w:hAnsi="Arial" w:cs="Arial"/>
                <w:color w:val="000000"/>
              </w:rPr>
              <w:t xml:space="preserve"> </w:t>
            </w:r>
            <w:r w:rsidR="0037769B">
              <w:rPr>
                <w:rFonts w:ascii="Arial" w:hAnsi="Arial" w:cs="Arial"/>
                <w:color w:val="000000"/>
              </w:rPr>
              <w:t>p</w:t>
            </w:r>
            <w:r w:rsidR="009F4140" w:rsidRPr="009F4140">
              <w:rPr>
                <w:rFonts w:ascii="Arial" w:hAnsi="Arial" w:cs="Arial"/>
                <w:color w:val="000000"/>
              </w:rPr>
              <w:t xml:space="preserve">arámetros como el número de puestas, las estimas de ejemplares y el área de distribución </w:t>
            </w:r>
            <w:r w:rsidR="00536694">
              <w:rPr>
                <w:rFonts w:ascii="Arial" w:hAnsi="Arial" w:cs="Arial"/>
                <w:color w:val="000000"/>
              </w:rPr>
              <w:t>(</w:t>
            </w:r>
            <w:r w:rsidR="00536694" w:rsidRPr="00B776B9">
              <w:rPr>
                <w:rFonts w:ascii="Arial" w:hAnsi="Arial" w:cs="Arial"/>
                <w:smallCaps/>
                <w:color w:val="000000"/>
              </w:rPr>
              <w:t>Garin-Barrio</w:t>
            </w:r>
            <w:r w:rsidR="00536694">
              <w:rPr>
                <w:rFonts w:ascii="Arial" w:hAnsi="Arial" w:cs="Arial"/>
                <w:color w:val="000000"/>
              </w:rPr>
              <w:t xml:space="preserve"> </w:t>
            </w:r>
            <w:r w:rsidR="00536694" w:rsidRPr="00536694">
              <w:rPr>
                <w:rFonts w:ascii="Arial" w:hAnsi="Arial" w:cs="Arial"/>
                <w:i/>
                <w:color w:val="000000"/>
              </w:rPr>
              <w:t>et al</w:t>
            </w:r>
            <w:r w:rsidR="00536694">
              <w:rPr>
                <w:rFonts w:ascii="Arial" w:hAnsi="Arial" w:cs="Arial"/>
                <w:color w:val="000000"/>
              </w:rPr>
              <w:t>., 2011).</w:t>
            </w:r>
          </w:p>
          <w:p w14:paraId="4AA539D0" w14:textId="10AF3619" w:rsidR="007C5CD6" w:rsidRDefault="00536694" w:rsidP="0051214D">
            <w:pPr>
              <w:autoSpaceDE w:val="0"/>
              <w:autoSpaceDN w:val="0"/>
              <w:adjustRightInd w:val="0"/>
              <w:spacing w:line="360" w:lineRule="auto"/>
              <w:ind w:right="67"/>
              <w:jc w:val="both"/>
              <w:rPr>
                <w:rFonts w:ascii="Arial" w:hAnsi="Arial" w:cs="Arial"/>
                <w:color w:val="000000"/>
              </w:rPr>
            </w:pPr>
            <w:r>
              <w:rPr>
                <w:rFonts w:ascii="Arial" w:hAnsi="Arial" w:cs="Arial"/>
                <w:color w:val="000000"/>
              </w:rPr>
              <w:t>Sin embargo</w:t>
            </w:r>
            <w:r w:rsidR="0009550C">
              <w:rPr>
                <w:rFonts w:ascii="Arial" w:hAnsi="Arial" w:cs="Arial"/>
                <w:color w:val="000000"/>
              </w:rPr>
              <w:t>,</w:t>
            </w:r>
            <w:r>
              <w:rPr>
                <w:rFonts w:ascii="Arial" w:hAnsi="Arial" w:cs="Arial"/>
                <w:color w:val="000000"/>
              </w:rPr>
              <w:t xml:space="preserve"> </w:t>
            </w:r>
            <w:r w:rsidR="0009550C">
              <w:rPr>
                <w:rFonts w:ascii="Arial" w:hAnsi="Arial" w:cs="Arial"/>
                <w:color w:val="000000"/>
              </w:rPr>
              <w:t>la</w:t>
            </w:r>
            <w:r w:rsidR="0037769B">
              <w:rPr>
                <w:rFonts w:ascii="Arial" w:hAnsi="Arial" w:cs="Arial"/>
                <w:color w:val="000000"/>
              </w:rPr>
              <w:t xml:space="preserve"> mayor parte de la</w:t>
            </w:r>
            <w:r w:rsidR="0009550C">
              <w:rPr>
                <w:rFonts w:ascii="Arial" w:hAnsi="Arial" w:cs="Arial"/>
                <w:color w:val="000000"/>
              </w:rPr>
              <w:t xml:space="preserve"> población se local</w:t>
            </w:r>
            <w:r w:rsidR="0051214D">
              <w:rPr>
                <w:rFonts w:ascii="Arial" w:hAnsi="Arial" w:cs="Arial"/>
                <w:color w:val="000000"/>
              </w:rPr>
              <w:t>iza exclusivamente en el arenal</w:t>
            </w:r>
            <w:r w:rsidR="0037769B">
              <w:rPr>
                <w:rFonts w:ascii="Arial" w:hAnsi="Arial" w:cs="Arial"/>
                <w:color w:val="000000"/>
              </w:rPr>
              <w:t xml:space="preserve">, </w:t>
            </w:r>
            <w:r w:rsidR="006023BA">
              <w:rPr>
                <w:rFonts w:ascii="Arial" w:hAnsi="Arial" w:cs="Arial"/>
                <w:color w:val="000000"/>
              </w:rPr>
              <w:t>donde se encuentra el único humedal en el que actualmente se reproduce la población,</w:t>
            </w:r>
            <w:r w:rsidR="0009550C">
              <w:rPr>
                <w:rFonts w:ascii="Arial" w:hAnsi="Arial" w:cs="Arial"/>
                <w:color w:val="000000"/>
              </w:rPr>
              <w:t xml:space="preserve"> y la detección de ejemplares fuera </w:t>
            </w:r>
            <w:r w:rsidR="0051214D">
              <w:rPr>
                <w:rFonts w:ascii="Arial" w:hAnsi="Arial" w:cs="Arial"/>
                <w:color w:val="000000"/>
              </w:rPr>
              <w:t>de éste es</w:t>
            </w:r>
            <w:r w:rsidR="0009550C">
              <w:rPr>
                <w:rFonts w:ascii="Arial" w:hAnsi="Arial" w:cs="Arial"/>
                <w:color w:val="000000"/>
              </w:rPr>
              <w:t xml:space="preserve"> testimonial (</w:t>
            </w:r>
            <w:r w:rsidR="0009550C" w:rsidRPr="00B776B9">
              <w:rPr>
                <w:rFonts w:ascii="Arial" w:hAnsi="Arial" w:cs="Arial"/>
                <w:smallCaps/>
                <w:color w:val="000000"/>
              </w:rPr>
              <w:t>Garin-Barrio</w:t>
            </w:r>
            <w:r w:rsidR="0009550C">
              <w:rPr>
                <w:rFonts w:ascii="Arial" w:hAnsi="Arial" w:cs="Arial"/>
                <w:color w:val="000000"/>
              </w:rPr>
              <w:t xml:space="preserve"> </w:t>
            </w:r>
            <w:r w:rsidR="0009550C" w:rsidRPr="00B776B9">
              <w:rPr>
                <w:rFonts w:ascii="Arial" w:hAnsi="Arial" w:cs="Arial"/>
                <w:i/>
                <w:color w:val="000000"/>
              </w:rPr>
              <w:t>et al</w:t>
            </w:r>
            <w:r w:rsidR="0009550C">
              <w:rPr>
                <w:rFonts w:ascii="Arial" w:hAnsi="Arial" w:cs="Arial"/>
                <w:color w:val="000000"/>
              </w:rPr>
              <w:t xml:space="preserve">., 2016; </w:t>
            </w:r>
            <w:r w:rsidR="0009550C" w:rsidRPr="00B776B9">
              <w:rPr>
                <w:rFonts w:ascii="Arial" w:hAnsi="Arial" w:cs="Arial"/>
                <w:smallCaps/>
                <w:color w:val="000000"/>
              </w:rPr>
              <w:t>Laza-Martínez</w:t>
            </w:r>
            <w:r w:rsidR="0009550C">
              <w:rPr>
                <w:rFonts w:ascii="Arial" w:hAnsi="Arial" w:cs="Arial"/>
                <w:color w:val="000000"/>
              </w:rPr>
              <w:t xml:space="preserve"> </w:t>
            </w:r>
            <w:r w:rsidR="0009550C" w:rsidRPr="00B776B9">
              <w:rPr>
                <w:rFonts w:ascii="Arial" w:hAnsi="Arial" w:cs="Arial"/>
                <w:i/>
                <w:color w:val="000000"/>
              </w:rPr>
              <w:t>et al</w:t>
            </w:r>
            <w:r w:rsidR="0009550C">
              <w:rPr>
                <w:rFonts w:ascii="Arial" w:hAnsi="Arial" w:cs="Arial"/>
                <w:color w:val="000000"/>
              </w:rPr>
              <w:t>., 2017). A la hora de evaluar la evolución del área de distribución de la población de Azkorri</w:t>
            </w:r>
            <w:r w:rsidR="006023BA">
              <w:rPr>
                <w:rFonts w:ascii="Arial" w:hAnsi="Arial" w:cs="Arial"/>
                <w:color w:val="000000"/>
              </w:rPr>
              <w:t xml:space="preserve">, </w:t>
            </w:r>
            <w:r w:rsidR="0083123C">
              <w:rPr>
                <w:rFonts w:ascii="Arial" w:hAnsi="Arial" w:cs="Arial"/>
                <w:color w:val="000000"/>
              </w:rPr>
              <w:t>el resultado</w:t>
            </w:r>
            <w:r w:rsidR="0009550C">
              <w:rPr>
                <w:rFonts w:ascii="Arial" w:hAnsi="Arial" w:cs="Arial"/>
                <w:color w:val="000000"/>
              </w:rPr>
              <w:t xml:space="preserve"> depende de</w:t>
            </w:r>
            <w:r w:rsidR="0083123C">
              <w:rPr>
                <w:rFonts w:ascii="Arial" w:hAnsi="Arial" w:cs="Arial"/>
                <w:color w:val="000000"/>
              </w:rPr>
              <w:t xml:space="preserve"> la</w:t>
            </w:r>
            <w:r w:rsidR="0009550C">
              <w:rPr>
                <w:rFonts w:ascii="Arial" w:hAnsi="Arial" w:cs="Arial"/>
                <w:color w:val="000000"/>
              </w:rPr>
              <w:t xml:space="preserve"> </w:t>
            </w:r>
            <w:r w:rsidR="0083123C">
              <w:rPr>
                <w:rFonts w:ascii="Arial" w:hAnsi="Arial" w:cs="Arial"/>
                <w:color w:val="000000"/>
              </w:rPr>
              <w:t>situación</w:t>
            </w:r>
            <w:r w:rsidR="006023BA">
              <w:rPr>
                <w:rFonts w:ascii="Arial" w:hAnsi="Arial" w:cs="Arial"/>
                <w:color w:val="000000"/>
              </w:rPr>
              <w:t xml:space="preserve"> de referencia</w:t>
            </w:r>
            <w:r w:rsidR="0083123C">
              <w:rPr>
                <w:rFonts w:ascii="Arial" w:hAnsi="Arial" w:cs="Arial"/>
                <w:color w:val="000000"/>
              </w:rPr>
              <w:t xml:space="preserve"> que se tome</w:t>
            </w:r>
            <w:r w:rsidR="0009550C">
              <w:rPr>
                <w:rFonts w:ascii="Arial" w:hAnsi="Arial" w:cs="Arial"/>
                <w:color w:val="000000"/>
              </w:rPr>
              <w:t xml:space="preserve">. Si comparamos </w:t>
            </w:r>
            <w:r w:rsidR="0083123C">
              <w:rPr>
                <w:rFonts w:ascii="Arial" w:hAnsi="Arial" w:cs="Arial"/>
                <w:color w:val="000000"/>
              </w:rPr>
              <w:t xml:space="preserve">la situación actual </w:t>
            </w:r>
            <w:r w:rsidR="0009550C">
              <w:rPr>
                <w:rFonts w:ascii="Arial" w:hAnsi="Arial" w:cs="Arial"/>
                <w:color w:val="000000"/>
              </w:rPr>
              <w:t xml:space="preserve">con </w:t>
            </w:r>
            <w:r w:rsidR="0083123C">
              <w:rPr>
                <w:rFonts w:ascii="Arial" w:hAnsi="Arial" w:cs="Arial"/>
                <w:color w:val="000000"/>
              </w:rPr>
              <w:t xml:space="preserve">la </w:t>
            </w:r>
            <w:r w:rsidR="0037769B">
              <w:rPr>
                <w:rFonts w:ascii="Arial" w:hAnsi="Arial" w:cs="Arial"/>
                <w:color w:val="000000"/>
              </w:rPr>
              <w:t>encontrada al inicio del programa de seguimiento (2005-2006)</w:t>
            </w:r>
            <w:r w:rsidR="0083123C">
              <w:rPr>
                <w:rFonts w:ascii="Arial" w:hAnsi="Arial" w:cs="Arial"/>
                <w:color w:val="000000"/>
              </w:rPr>
              <w:t xml:space="preserve">, </w:t>
            </w:r>
            <w:r w:rsidR="0037769B">
              <w:rPr>
                <w:rFonts w:ascii="Arial" w:hAnsi="Arial" w:cs="Arial"/>
                <w:color w:val="000000"/>
              </w:rPr>
              <w:t xml:space="preserve">la población </w:t>
            </w:r>
            <w:r w:rsidR="0009550C">
              <w:rPr>
                <w:rFonts w:ascii="Arial" w:hAnsi="Arial" w:cs="Arial"/>
                <w:color w:val="000000"/>
              </w:rPr>
              <w:t>presenta un área de distribución similar o</w:t>
            </w:r>
            <w:r w:rsidR="0051214D">
              <w:rPr>
                <w:rFonts w:ascii="Arial" w:hAnsi="Arial" w:cs="Arial"/>
                <w:color w:val="000000"/>
              </w:rPr>
              <w:t>,</w:t>
            </w:r>
            <w:r w:rsidR="0009550C">
              <w:rPr>
                <w:rFonts w:ascii="Arial" w:hAnsi="Arial" w:cs="Arial"/>
                <w:color w:val="000000"/>
              </w:rPr>
              <w:t xml:space="preserve"> si acaso</w:t>
            </w:r>
            <w:r w:rsidR="0051214D">
              <w:rPr>
                <w:rFonts w:ascii="Arial" w:hAnsi="Arial" w:cs="Arial"/>
                <w:color w:val="000000"/>
              </w:rPr>
              <w:t>, un tanto mayor;</w:t>
            </w:r>
            <w:r w:rsidR="0009550C">
              <w:rPr>
                <w:rFonts w:ascii="Arial" w:hAnsi="Arial" w:cs="Arial"/>
                <w:color w:val="000000"/>
              </w:rPr>
              <w:t xml:space="preserve"> pero si se compara con el área de distribución </w:t>
            </w:r>
            <w:r w:rsidR="006023BA">
              <w:rPr>
                <w:rFonts w:ascii="Arial" w:hAnsi="Arial" w:cs="Arial"/>
                <w:color w:val="000000"/>
              </w:rPr>
              <w:t xml:space="preserve">alcanzada en </w:t>
            </w:r>
            <w:r w:rsidR="0009550C">
              <w:rPr>
                <w:rFonts w:ascii="Arial" w:hAnsi="Arial" w:cs="Arial"/>
                <w:color w:val="000000"/>
              </w:rPr>
              <w:t>2010</w:t>
            </w:r>
            <w:r w:rsidR="0051214D">
              <w:rPr>
                <w:rFonts w:ascii="Arial" w:hAnsi="Arial" w:cs="Arial"/>
                <w:color w:val="000000"/>
              </w:rPr>
              <w:t>,</w:t>
            </w:r>
            <w:r w:rsidR="0009550C">
              <w:rPr>
                <w:rFonts w:ascii="Arial" w:hAnsi="Arial" w:cs="Arial"/>
                <w:color w:val="000000"/>
              </w:rPr>
              <w:t xml:space="preserve"> </w:t>
            </w:r>
            <w:r w:rsidR="0083123C">
              <w:rPr>
                <w:rFonts w:ascii="Arial" w:hAnsi="Arial" w:cs="Arial"/>
                <w:color w:val="000000"/>
              </w:rPr>
              <w:t xml:space="preserve">ésta </w:t>
            </w:r>
            <w:r w:rsidR="0009550C">
              <w:rPr>
                <w:rFonts w:ascii="Arial" w:hAnsi="Arial" w:cs="Arial"/>
                <w:color w:val="000000"/>
              </w:rPr>
              <w:t>se ha reducido en</w:t>
            </w:r>
            <w:r w:rsidR="0083123C">
              <w:rPr>
                <w:rFonts w:ascii="Arial" w:hAnsi="Arial" w:cs="Arial"/>
                <w:color w:val="000000"/>
              </w:rPr>
              <w:t xml:space="preserve"> la actualidad a</w:t>
            </w:r>
            <w:r w:rsidR="0009550C">
              <w:rPr>
                <w:rFonts w:ascii="Arial" w:hAnsi="Arial" w:cs="Arial"/>
                <w:color w:val="000000"/>
              </w:rPr>
              <w:t xml:space="preserve"> 2/3 (</w:t>
            </w:r>
            <w:r w:rsidR="0009550C" w:rsidRPr="00B776B9">
              <w:rPr>
                <w:rFonts w:ascii="Arial" w:hAnsi="Arial" w:cs="Arial"/>
                <w:smallCaps/>
                <w:color w:val="000000"/>
              </w:rPr>
              <w:t>Garin-Barrio</w:t>
            </w:r>
            <w:r w:rsidR="0009550C">
              <w:rPr>
                <w:rFonts w:ascii="Arial" w:hAnsi="Arial" w:cs="Arial"/>
                <w:color w:val="000000"/>
              </w:rPr>
              <w:t xml:space="preserve"> obs. pers).</w:t>
            </w:r>
          </w:p>
          <w:p w14:paraId="7AFB56F9" w14:textId="2CBB13C8" w:rsidR="00235D92" w:rsidRPr="00235D92" w:rsidRDefault="00235D92" w:rsidP="0051214D">
            <w:pPr>
              <w:autoSpaceDE w:val="0"/>
              <w:autoSpaceDN w:val="0"/>
              <w:adjustRightInd w:val="0"/>
              <w:spacing w:line="360" w:lineRule="auto"/>
              <w:ind w:right="67"/>
              <w:jc w:val="both"/>
              <w:rPr>
                <w:rFonts w:ascii="Arial" w:eastAsia="Times New Roman" w:hAnsi="Arial" w:cs="Arial"/>
                <w:sz w:val="20"/>
                <w:szCs w:val="20"/>
                <w:lang w:eastAsia="es-ES"/>
              </w:rPr>
            </w:pPr>
          </w:p>
        </w:tc>
      </w:tr>
      <w:tr w:rsidR="004E0837" w:rsidRPr="004E0837" w14:paraId="3B3C8AE3" w14:textId="77777777" w:rsidTr="001A1482">
        <w:tc>
          <w:tcPr>
            <w:tcW w:w="1951" w:type="dxa"/>
            <w:shd w:val="clear" w:color="auto" w:fill="BFBFBF" w:themeFill="background1" w:themeFillShade="BF"/>
          </w:tcPr>
          <w:p w14:paraId="392ADD49" w14:textId="77777777" w:rsidR="0051214D" w:rsidRDefault="0051214D" w:rsidP="008C3364">
            <w:pPr>
              <w:spacing w:line="360" w:lineRule="auto"/>
              <w:jc w:val="center"/>
              <w:rPr>
                <w:rFonts w:ascii="Arial" w:hAnsi="Arial" w:cs="Arial"/>
                <w:b/>
              </w:rPr>
            </w:pPr>
          </w:p>
          <w:p w14:paraId="3C78014D" w14:textId="77777777" w:rsidR="003E2C9F" w:rsidRPr="004E0837" w:rsidRDefault="009A6413" w:rsidP="008C3364">
            <w:pPr>
              <w:spacing w:line="360" w:lineRule="auto"/>
              <w:jc w:val="center"/>
              <w:rPr>
                <w:rFonts w:ascii="Arial" w:hAnsi="Arial" w:cs="Arial"/>
                <w:b/>
              </w:rPr>
            </w:pPr>
            <w:r w:rsidRPr="004E0837">
              <w:rPr>
                <w:rFonts w:ascii="Arial" w:hAnsi="Arial" w:cs="Arial"/>
                <w:b/>
              </w:rPr>
              <w:t>Tamaño de población. Evolución</w:t>
            </w:r>
          </w:p>
        </w:tc>
        <w:tc>
          <w:tcPr>
            <w:tcW w:w="6769" w:type="dxa"/>
          </w:tcPr>
          <w:p w14:paraId="62D6C142" w14:textId="77777777" w:rsidR="0051214D" w:rsidRDefault="0051214D" w:rsidP="006A3648">
            <w:pPr>
              <w:spacing w:line="360" w:lineRule="auto"/>
              <w:jc w:val="both"/>
              <w:rPr>
                <w:rFonts w:ascii="Arial" w:hAnsi="Arial" w:cs="Arial"/>
                <w:lang w:val="es-ES_tradnl" w:eastAsia="ar-SA"/>
              </w:rPr>
            </w:pPr>
          </w:p>
          <w:p w14:paraId="63C0FC75" w14:textId="6939B68E" w:rsidR="0051214D" w:rsidRDefault="003D1A2E" w:rsidP="006A3648">
            <w:pPr>
              <w:spacing w:line="360" w:lineRule="auto"/>
              <w:jc w:val="both"/>
              <w:rPr>
                <w:rFonts w:ascii="Arial" w:hAnsi="Arial" w:cs="Arial"/>
                <w:lang w:val="es-ES_tradnl" w:eastAsia="ar-SA"/>
              </w:rPr>
            </w:pPr>
            <w:r w:rsidRPr="006A3648">
              <w:rPr>
                <w:rFonts w:ascii="Arial" w:hAnsi="Arial" w:cs="Arial"/>
                <w:lang w:val="es-ES_tradnl" w:eastAsia="ar-SA"/>
              </w:rPr>
              <w:t xml:space="preserve">Tal y como se </w:t>
            </w:r>
            <w:r w:rsidR="001F6CF8" w:rsidRPr="006A3648">
              <w:rPr>
                <w:rFonts w:ascii="Arial" w:hAnsi="Arial" w:cs="Arial"/>
                <w:lang w:val="es-ES_tradnl" w:eastAsia="ar-SA"/>
              </w:rPr>
              <w:t>ha procedido en el caso del área de distribución</w:t>
            </w:r>
            <w:r w:rsidR="0051214D">
              <w:rPr>
                <w:rFonts w:ascii="Arial" w:hAnsi="Arial" w:cs="Arial"/>
                <w:lang w:val="es-ES_tradnl" w:eastAsia="ar-SA"/>
              </w:rPr>
              <w:t>, para</w:t>
            </w:r>
            <w:r w:rsidR="001F6CF8" w:rsidRPr="006A3648">
              <w:rPr>
                <w:rFonts w:ascii="Arial" w:hAnsi="Arial" w:cs="Arial"/>
                <w:lang w:val="es-ES_tradnl" w:eastAsia="ar-SA"/>
              </w:rPr>
              <w:t xml:space="preserve"> evaluar el tamaño poblaci</w:t>
            </w:r>
            <w:r w:rsidR="00D544A4">
              <w:rPr>
                <w:rFonts w:ascii="Arial" w:hAnsi="Arial" w:cs="Arial"/>
                <w:lang w:val="es-ES_tradnl" w:eastAsia="ar-SA"/>
              </w:rPr>
              <w:t>o</w:t>
            </w:r>
            <w:r w:rsidR="001F6CF8" w:rsidRPr="006A3648">
              <w:rPr>
                <w:rFonts w:ascii="Arial" w:hAnsi="Arial" w:cs="Arial"/>
                <w:lang w:val="es-ES_tradnl" w:eastAsia="ar-SA"/>
              </w:rPr>
              <w:t>n</w:t>
            </w:r>
            <w:r w:rsidR="0083123C">
              <w:rPr>
                <w:rFonts w:ascii="Arial" w:hAnsi="Arial" w:cs="Arial"/>
                <w:lang w:val="es-ES_tradnl" w:eastAsia="ar-SA"/>
              </w:rPr>
              <w:t>al</w:t>
            </w:r>
            <w:r w:rsidR="001F6CF8" w:rsidRPr="006A3648">
              <w:rPr>
                <w:rFonts w:ascii="Arial" w:hAnsi="Arial" w:cs="Arial"/>
                <w:lang w:val="es-ES_tradnl" w:eastAsia="ar-SA"/>
              </w:rPr>
              <w:t xml:space="preserve"> se </w:t>
            </w:r>
            <w:r w:rsidR="00347989">
              <w:rPr>
                <w:rFonts w:ascii="Arial" w:hAnsi="Arial" w:cs="Arial"/>
                <w:lang w:val="es-ES_tradnl" w:eastAsia="ar-SA"/>
              </w:rPr>
              <w:t xml:space="preserve">consideran </w:t>
            </w:r>
            <w:r w:rsidR="001F6CF8" w:rsidRPr="006A3648">
              <w:rPr>
                <w:rFonts w:ascii="Arial" w:hAnsi="Arial" w:cs="Arial"/>
                <w:lang w:val="es-ES_tradnl" w:eastAsia="ar-SA"/>
              </w:rPr>
              <w:t>únicamente las dos poblaciones costeras del sapo corredor</w:t>
            </w:r>
            <w:r w:rsidR="000F4145" w:rsidRPr="006A3648">
              <w:rPr>
                <w:rFonts w:ascii="Arial" w:hAnsi="Arial" w:cs="Arial"/>
                <w:lang w:val="es-ES_tradnl" w:eastAsia="ar-SA"/>
              </w:rPr>
              <w:t xml:space="preserve">. </w:t>
            </w:r>
          </w:p>
          <w:p w14:paraId="4A3B60E1" w14:textId="0FFA6FAB" w:rsidR="000F4145" w:rsidRDefault="0051214D" w:rsidP="006A3648">
            <w:pPr>
              <w:spacing w:line="360" w:lineRule="auto"/>
              <w:jc w:val="both"/>
              <w:rPr>
                <w:rFonts w:ascii="Arial" w:hAnsi="Arial" w:cs="Arial"/>
                <w:lang w:val="es-ES_tradnl"/>
              </w:rPr>
            </w:pPr>
            <w:r>
              <w:rPr>
                <w:rFonts w:ascii="Arial" w:hAnsi="Arial" w:cs="Arial"/>
                <w:lang w:val="es-ES_tradnl"/>
              </w:rPr>
              <w:t xml:space="preserve">Se ha </w:t>
            </w:r>
            <w:r w:rsidR="0083123C">
              <w:rPr>
                <w:rFonts w:ascii="Arial" w:hAnsi="Arial" w:cs="Arial"/>
                <w:lang w:val="es-ES_tradnl"/>
              </w:rPr>
              <w:t xml:space="preserve">estimado </w:t>
            </w:r>
            <w:r w:rsidR="000F4145" w:rsidRPr="006A3648">
              <w:rPr>
                <w:rFonts w:ascii="Arial" w:hAnsi="Arial" w:cs="Arial"/>
                <w:lang w:val="es-ES_tradnl"/>
              </w:rPr>
              <w:t>el número de hembras reproductoras mediante el conteo de puestas</w:t>
            </w:r>
            <w:r w:rsidR="0083123C">
              <w:rPr>
                <w:rFonts w:ascii="Arial" w:hAnsi="Arial" w:cs="Arial"/>
                <w:lang w:val="es-ES_tradnl"/>
              </w:rPr>
              <w:t>. Para ello se ha</w:t>
            </w:r>
            <w:r w:rsidR="000F4145" w:rsidRPr="006A3648">
              <w:rPr>
                <w:rFonts w:ascii="Arial" w:hAnsi="Arial" w:cs="Arial"/>
                <w:lang w:val="es-ES_tradnl"/>
              </w:rPr>
              <w:t xml:space="preserve"> inclu</w:t>
            </w:r>
            <w:r w:rsidR="0083123C">
              <w:rPr>
                <w:rFonts w:ascii="Arial" w:hAnsi="Arial" w:cs="Arial"/>
                <w:lang w:val="es-ES_tradnl"/>
              </w:rPr>
              <w:t>i</w:t>
            </w:r>
            <w:r w:rsidR="000F4145" w:rsidRPr="006A3648">
              <w:rPr>
                <w:rFonts w:ascii="Arial" w:hAnsi="Arial" w:cs="Arial"/>
                <w:lang w:val="es-ES_tradnl"/>
              </w:rPr>
              <w:t>do un factor corrector</w:t>
            </w:r>
            <w:r>
              <w:rPr>
                <w:rFonts w:ascii="Arial" w:hAnsi="Arial" w:cs="Arial"/>
                <w:lang w:val="es-ES_tradnl"/>
              </w:rPr>
              <w:t xml:space="preserve">, dado </w:t>
            </w:r>
            <w:r w:rsidR="000F4145" w:rsidRPr="006A3648">
              <w:rPr>
                <w:rFonts w:ascii="Arial" w:hAnsi="Arial" w:cs="Arial"/>
                <w:lang w:val="es-ES_tradnl"/>
              </w:rPr>
              <w:t>que existe</w:t>
            </w:r>
            <w:r>
              <w:rPr>
                <w:rFonts w:ascii="Arial" w:hAnsi="Arial" w:cs="Arial"/>
                <w:lang w:val="es-ES_tradnl"/>
              </w:rPr>
              <w:t>,</w:t>
            </w:r>
            <w:r w:rsidR="000F4145" w:rsidRPr="006A3648">
              <w:rPr>
                <w:rFonts w:ascii="Arial" w:hAnsi="Arial" w:cs="Arial"/>
                <w:lang w:val="es-ES_tradnl"/>
              </w:rPr>
              <w:t xml:space="preserve"> por un lado</w:t>
            </w:r>
            <w:r>
              <w:rPr>
                <w:rFonts w:ascii="Arial" w:hAnsi="Arial" w:cs="Arial"/>
                <w:lang w:val="es-ES_tradnl"/>
              </w:rPr>
              <w:t>,</w:t>
            </w:r>
            <w:r w:rsidR="000F4145" w:rsidRPr="006A3648">
              <w:rPr>
                <w:rFonts w:ascii="Arial" w:hAnsi="Arial" w:cs="Arial"/>
                <w:lang w:val="es-ES_tradnl"/>
              </w:rPr>
              <w:t xml:space="preserve"> una proporción de la población que repite puesta el mismo año y</w:t>
            </w:r>
            <w:r>
              <w:rPr>
                <w:rFonts w:ascii="Arial" w:hAnsi="Arial" w:cs="Arial"/>
                <w:lang w:val="es-ES_tradnl"/>
              </w:rPr>
              <w:t>,</w:t>
            </w:r>
            <w:r w:rsidR="000F4145" w:rsidRPr="006A3648">
              <w:rPr>
                <w:rFonts w:ascii="Arial" w:hAnsi="Arial" w:cs="Arial"/>
                <w:lang w:val="es-ES_tradnl"/>
              </w:rPr>
              <w:t xml:space="preserve"> a su vez</w:t>
            </w:r>
            <w:r>
              <w:rPr>
                <w:rFonts w:ascii="Arial" w:hAnsi="Arial" w:cs="Arial"/>
                <w:lang w:val="es-ES_tradnl"/>
              </w:rPr>
              <w:t>,</w:t>
            </w:r>
            <w:r w:rsidR="000F4145" w:rsidRPr="006A3648">
              <w:rPr>
                <w:rFonts w:ascii="Arial" w:hAnsi="Arial" w:cs="Arial"/>
                <w:lang w:val="es-ES_tradnl"/>
              </w:rPr>
              <w:t xml:space="preserve"> un porcentaje de hembras que no se reproduce</w:t>
            </w:r>
            <w:r>
              <w:rPr>
                <w:rFonts w:ascii="Arial" w:hAnsi="Arial" w:cs="Arial"/>
                <w:lang w:val="es-ES_tradnl"/>
              </w:rPr>
              <w:t>n</w:t>
            </w:r>
            <w:r w:rsidR="000F4145" w:rsidRPr="006A3648">
              <w:rPr>
                <w:rFonts w:ascii="Arial" w:hAnsi="Arial" w:cs="Arial"/>
                <w:lang w:val="es-ES_tradnl"/>
              </w:rPr>
              <w:t xml:space="preserve"> (</w:t>
            </w:r>
            <w:r w:rsidR="000F4145" w:rsidRPr="006A3648">
              <w:rPr>
                <w:rFonts w:ascii="Arial" w:hAnsi="Arial" w:cs="Arial"/>
                <w:smallCaps/>
                <w:lang w:val="es-ES_tradnl"/>
              </w:rPr>
              <w:t>Becart</w:t>
            </w:r>
            <w:r w:rsidR="000F4145" w:rsidRPr="006A3648">
              <w:rPr>
                <w:rFonts w:ascii="Arial" w:hAnsi="Arial" w:cs="Arial"/>
                <w:lang w:val="es-ES_tradnl"/>
              </w:rPr>
              <w:t xml:space="preserve"> </w:t>
            </w:r>
            <w:r w:rsidR="000F4145" w:rsidRPr="006A3648">
              <w:rPr>
                <w:rFonts w:ascii="Arial" w:hAnsi="Arial" w:cs="Arial"/>
                <w:i/>
                <w:lang w:val="es-ES_tradnl"/>
              </w:rPr>
              <w:t>et al</w:t>
            </w:r>
            <w:r w:rsidR="000F4145" w:rsidRPr="006A3648">
              <w:rPr>
                <w:rFonts w:ascii="Arial" w:hAnsi="Arial" w:cs="Arial"/>
                <w:lang w:val="es-ES_tradnl"/>
              </w:rPr>
              <w:t>., 2007). Para obtener el número de machos reproductores se asume que la relación de sexos es equivalente (1:1).</w:t>
            </w:r>
          </w:p>
          <w:p w14:paraId="630074DF" w14:textId="77777777" w:rsidR="0051214D" w:rsidRPr="006A3648" w:rsidRDefault="0051214D" w:rsidP="006A3648">
            <w:pPr>
              <w:spacing w:line="360" w:lineRule="auto"/>
              <w:jc w:val="both"/>
              <w:rPr>
                <w:rFonts w:ascii="Arial" w:hAnsi="Arial" w:cs="Arial"/>
                <w:lang w:val="es-ES_tradnl" w:eastAsia="ar-SA"/>
              </w:rPr>
            </w:pPr>
          </w:p>
          <w:p w14:paraId="239086C0" w14:textId="77777777" w:rsidR="006A3648" w:rsidRPr="006A3648" w:rsidRDefault="001F6CF8" w:rsidP="006A3648">
            <w:pPr>
              <w:pStyle w:val="Prrafodelista"/>
              <w:numPr>
                <w:ilvl w:val="0"/>
                <w:numId w:val="13"/>
              </w:numPr>
              <w:suppressAutoHyphens/>
              <w:spacing w:after="200" w:line="360" w:lineRule="auto"/>
              <w:ind w:right="45"/>
              <w:jc w:val="both"/>
              <w:outlineLvl w:val="0"/>
              <w:rPr>
                <w:rFonts w:ascii="Arial" w:eastAsia="Arial Unicode MS" w:hAnsi="Arial" w:cs="Arial"/>
                <w:b/>
                <w:kern w:val="1"/>
                <w:lang w:val="es-ES_tradnl" w:eastAsia="ar-SA"/>
              </w:rPr>
            </w:pPr>
            <w:r w:rsidRPr="006A3648">
              <w:rPr>
                <w:rFonts w:ascii="Arial" w:eastAsia="Arial Unicode MS" w:hAnsi="Arial" w:cs="Arial"/>
                <w:b/>
                <w:kern w:val="1"/>
                <w:lang w:val="es-ES_tradnl" w:eastAsia="ar-SA"/>
              </w:rPr>
              <w:t>Población del área de Txingudi</w:t>
            </w:r>
          </w:p>
          <w:p w14:paraId="7A8E3143" w14:textId="26C8653B" w:rsidR="006A3648" w:rsidRPr="006A3648" w:rsidRDefault="006A3648" w:rsidP="006A3648">
            <w:pPr>
              <w:suppressAutoHyphens/>
              <w:spacing w:after="200" w:line="360" w:lineRule="auto"/>
              <w:ind w:right="45"/>
              <w:jc w:val="both"/>
              <w:outlineLvl w:val="0"/>
              <w:rPr>
                <w:rFonts w:ascii="Arial" w:eastAsia="Arial Unicode MS" w:hAnsi="Arial" w:cs="Arial"/>
                <w:kern w:val="1"/>
                <w:lang w:val="es-ES_tradnl" w:eastAsia="ar-SA"/>
              </w:rPr>
            </w:pPr>
            <w:r w:rsidRPr="006A3648">
              <w:rPr>
                <w:rFonts w:ascii="Arial" w:eastAsia="Arial Unicode MS" w:hAnsi="Arial" w:cs="Arial"/>
                <w:kern w:val="1"/>
                <w:lang w:val="es-ES_tradnl" w:eastAsia="ar-SA"/>
              </w:rPr>
              <w:t xml:space="preserve">La </w:t>
            </w:r>
            <w:r w:rsidRPr="00B776B9">
              <w:rPr>
                <w:rFonts w:ascii="Arial" w:eastAsia="Arial Unicode MS" w:hAnsi="Arial" w:cs="Arial"/>
                <w:smallCaps/>
                <w:kern w:val="22"/>
                <w:lang w:val="es-ES_tradnl" w:eastAsia="ar-SA"/>
              </w:rPr>
              <w:t>figura 6</w:t>
            </w:r>
            <w:r w:rsidRPr="006A3648">
              <w:rPr>
                <w:rFonts w:ascii="Arial" w:eastAsia="Arial Unicode MS" w:hAnsi="Arial" w:cs="Arial"/>
                <w:kern w:val="1"/>
                <w:lang w:val="es-ES_tradnl" w:eastAsia="ar-SA"/>
              </w:rPr>
              <w:t xml:space="preserve"> muestra la tendencia marcada por la población de Txingudi a lo largo de los últimos 15 años de seguimiento</w:t>
            </w:r>
            <w:r w:rsidR="00D544A4">
              <w:rPr>
                <w:rFonts w:ascii="Arial" w:eastAsia="Arial Unicode MS" w:hAnsi="Arial" w:cs="Arial"/>
                <w:kern w:val="1"/>
                <w:lang w:val="es-ES_tradnl" w:eastAsia="ar-SA"/>
              </w:rPr>
              <w:t xml:space="preserve">, son los gráficos que se prepararon para el informe </w:t>
            </w:r>
            <w:r w:rsidR="00D544A4" w:rsidRPr="00B776B9">
              <w:rPr>
                <w:rFonts w:ascii="Arial" w:eastAsia="Arial Unicode MS" w:hAnsi="Arial" w:cs="Arial"/>
                <w:b/>
                <w:i/>
                <w:kern w:val="1"/>
                <w:lang w:val="es-ES_tradnl" w:eastAsia="ar-SA"/>
              </w:rPr>
              <w:t>Labores de seguimiento del estado de conservación de hábitats y especies en el ámbito Txingudi-Bidasoa: ZEC ES2120018 y ZEPA ES0000243 (Periodo 2010-2017)</w:t>
            </w:r>
            <w:r w:rsidR="005576AE">
              <w:rPr>
                <w:rFonts w:ascii="Arial" w:eastAsia="Arial Unicode MS" w:hAnsi="Arial" w:cs="Arial"/>
                <w:kern w:val="1"/>
                <w:lang w:val="es-ES_tradnl" w:eastAsia="ar-SA"/>
              </w:rPr>
              <w:t>. Para ello se ha dividido la estima de individuos reproductores en dos periodos:</w:t>
            </w:r>
            <w:r w:rsidRPr="006A3648">
              <w:rPr>
                <w:rFonts w:ascii="Arial" w:eastAsia="Arial Unicode MS" w:hAnsi="Arial" w:cs="Arial"/>
                <w:kern w:val="1"/>
                <w:lang w:val="es-ES_tradnl" w:eastAsia="ar-SA"/>
              </w:rPr>
              <w:t xml:space="preserve"> </w:t>
            </w:r>
            <w:r w:rsidR="005576AE">
              <w:rPr>
                <w:rFonts w:ascii="Arial" w:eastAsia="Arial Unicode MS" w:hAnsi="Arial" w:cs="Arial"/>
                <w:kern w:val="1"/>
                <w:lang w:val="es-ES_tradnl" w:eastAsia="ar-SA"/>
              </w:rPr>
              <w:t>l</w:t>
            </w:r>
            <w:r w:rsidRPr="006A3648">
              <w:rPr>
                <w:rFonts w:ascii="Arial" w:eastAsia="Arial Unicode MS" w:hAnsi="Arial" w:cs="Arial"/>
                <w:kern w:val="1"/>
                <w:lang w:val="es-ES_tradnl" w:eastAsia="ar-SA"/>
              </w:rPr>
              <w:t xml:space="preserve">os primeros seis años y los siguientes siete. La merma en el número de efectivos (en los valores medios) es de un 16%, si bien los resultados de los dos últimos años </w:t>
            </w:r>
            <w:r w:rsidR="00F6147F">
              <w:rPr>
                <w:rFonts w:ascii="Arial" w:eastAsia="Arial Unicode MS" w:hAnsi="Arial" w:cs="Arial"/>
                <w:kern w:val="1"/>
                <w:lang w:val="es-ES_tradnl" w:eastAsia="ar-SA"/>
              </w:rPr>
              <w:t>(</w:t>
            </w:r>
            <w:r w:rsidRPr="006A3648">
              <w:rPr>
                <w:rFonts w:ascii="Arial" w:eastAsia="Arial Unicode MS" w:hAnsi="Arial" w:cs="Arial"/>
                <w:kern w:val="1"/>
                <w:lang w:val="es-ES_tradnl" w:eastAsia="ar-SA"/>
              </w:rPr>
              <w:t>2018</w:t>
            </w:r>
            <w:r w:rsidR="00F6147F">
              <w:rPr>
                <w:rFonts w:ascii="Arial" w:eastAsia="Arial Unicode MS" w:hAnsi="Arial" w:cs="Arial"/>
                <w:kern w:val="1"/>
                <w:lang w:val="es-ES_tradnl" w:eastAsia="ar-SA"/>
              </w:rPr>
              <w:t xml:space="preserve"> y </w:t>
            </w:r>
            <w:r w:rsidRPr="006A3648">
              <w:rPr>
                <w:rFonts w:ascii="Arial" w:eastAsia="Arial Unicode MS" w:hAnsi="Arial" w:cs="Arial"/>
                <w:kern w:val="1"/>
                <w:lang w:val="es-ES_tradnl" w:eastAsia="ar-SA"/>
              </w:rPr>
              <w:t>2019</w:t>
            </w:r>
            <w:r w:rsidR="00F6147F">
              <w:rPr>
                <w:rFonts w:ascii="Arial" w:eastAsia="Arial Unicode MS" w:hAnsi="Arial" w:cs="Arial"/>
                <w:kern w:val="1"/>
                <w:lang w:val="es-ES_tradnl" w:eastAsia="ar-SA"/>
              </w:rPr>
              <w:t>)</w:t>
            </w:r>
            <w:r w:rsidRPr="006A3648">
              <w:rPr>
                <w:rFonts w:ascii="Arial" w:eastAsia="Arial Unicode MS" w:hAnsi="Arial" w:cs="Arial"/>
                <w:kern w:val="1"/>
                <w:lang w:val="es-ES_tradnl" w:eastAsia="ar-SA"/>
              </w:rPr>
              <w:t xml:space="preserve"> </w:t>
            </w:r>
            <w:r w:rsidR="005576AE">
              <w:rPr>
                <w:rFonts w:ascii="Arial" w:eastAsia="Arial Unicode MS" w:hAnsi="Arial" w:cs="Arial"/>
                <w:kern w:val="1"/>
                <w:lang w:val="es-ES_tradnl" w:eastAsia="ar-SA"/>
              </w:rPr>
              <w:t>son</w:t>
            </w:r>
            <w:r w:rsidRPr="006A3648">
              <w:rPr>
                <w:rFonts w:ascii="Arial" w:eastAsia="Arial Unicode MS" w:hAnsi="Arial" w:cs="Arial"/>
                <w:kern w:val="1"/>
                <w:lang w:val="es-ES_tradnl" w:eastAsia="ar-SA"/>
              </w:rPr>
              <w:t xml:space="preserve"> </w:t>
            </w:r>
            <w:r w:rsidR="005576AE">
              <w:rPr>
                <w:rFonts w:ascii="Arial" w:eastAsia="Arial Unicode MS" w:hAnsi="Arial" w:cs="Arial"/>
                <w:kern w:val="1"/>
                <w:lang w:val="es-ES_tradnl" w:eastAsia="ar-SA"/>
              </w:rPr>
              <w:t>especialmente</w:t>
            </w:r>
            <w:r w:rsidR="005576AE" w:rsidRPr="006A3648">
              <w:rPr>
                <w:rFonts w:ascii="Arial" w:eastAsia="Arial Unicode MS" w:hAnsi="Arial" w:cs="Arial"/>
                <w:kern w:val="1"/>
                <w:lang w:val="es-ES_tradnl" w:eastAsia="ar-SA"/>
              </w:rPr>
              <w:t xml:space="preserve"> </w:t>
            </w:r>
            <w:r w:rsidRPr="006A3648">
              <w:rPr>
                <w:rFonts w:ascii="Arial" w:eastAsia="Arial Unicode MS" w:hAnsi="Arial" w:cs="Arial"/>
                <w:kern w:val="1"/>
                <w:lang w:val="es-ES_tradnl" w:eastAsia="ar-SA"/>
              </w:rPr>
              <w:t>preocupantes con una bajada en el número de puestas superior a</w:t>
            </w:r>
            <w:r w:rsidR="00F6147F">
              <w:rPr>
                <w:rFonts w:ascii="Arial" w:eastAsia="Arial Unicode MS" w:hAnsi="Arial" w:cs="Arial"/>
                <w:kern w:val="1"/>
                <w:lang w:val="es-ES_tradnl" w:eastAsia="ar-SA"/>
              </w:rPr>
              <w:t>l</w:t>
            </w:r>
            <w:r w:rsidRPr="006A3648">
              <w:rPr>
                <w:rFonts w:ascii="Arial" w:eastAsia="Arial Unicode MS" w:hAnsi="Arial" w:cs="Arial"/>
                <w:kern w:val="1"/>
                <w:lang w:val="es-ES_tradnl" w:eastAsia="ar-SA"/>
              </w:rPr>
              <w:t xml:space="preserve"> 33% </w:t>
            </w:r>
            <w:r w:rsidR="00F6147F">
              <w:rPr>
                <w:rFonts w:ascii="Arial" w:eastAsia="Arial Unicode MS" w:hAnsi="Arial" w:cs="Arial"/>
                <w:kern w:val="1"/>
                <w:lang w:val="es-ES_tradnl" w:eastAsia="ar-SA"/>
              </w:rPr>
              <w:t>respecto a</w:t>
            </w:r>
            <w:r w:rsidRPr="006A3648">
              <w:rPr>
                <w:rFonts w:ascii="Arial" w:eastAsia="Arial Unicode MS" w:hAnsi="Arial" w:cs="Arial"/>
                <w:kern w:val="1"/>
                <w:lang w:val="es-ES_tradnl" w:eastAsia="ar-SA"/>
              </w:rPr>
              <w:t xml:space="preserve"> la media de los 15 años de seguimiento.</w:t>
            </w:r>
            <w:r>
              <w:rPr>
                <w:rFonts w:ascii="Arial" w:eastAsia="Arial Unicode MS" w:hAnsi="Arial" w:cs="Arial"/>
                <w:kern w:val="1"/>
                <w:lang w:val="es-ES_tradnl" w:eastAsia="ar-SA"/>
              </w:rPr>
              <w:t xml:space="preserve"> </w:t>
            </w:r>
            <w:r w:rsidR="00F6147F">
              <w:rPr>
                <w:rFonts w:ascii="Arial" w:eastAsia="Arial Unicode MS" w:hAnsi="Arial" w:cs="Arial"/>
                <w:kern w:val="1"/>
                <w:lang w:val="es-ES_tradnl" w:eastAsia="ar-SA"/>
              </w:rPr>
              <w:t xml:space="preserve">Los </w:t>
            </w:r>
            <w:r>
              <w:rPr>
                <w:rFonts w:ascii="Arial" w:eastAsia="Arial Unicode MS" w:hAnsi="Arial" w:cs="Arial"/>
                <w:kern w:val="1"/>
                <w:lang w:val="es-ES_tradnl" w:eastAsia="ar-SA"/>
              </w:rPr>
              <w:t xml:space="preserve">resultados </w:t>
            </w:r>
            <w:r w:rsidR="00F6147F">
              <w:rPr>
                <w:rFonts w:ascii="Arial" w:eastAsia="Arial Unicode MS" w:hAnsi="Arial" w:cs="Arial"/>
                <w:kern w:val="1"/>
                <w:lang w:val="es-ES_tradnl" w:eastAsia="ar-SA"/>
              </w:rPr>
              <w:t xml:space="preserve">a partir del año 2006 </w:t>
            </w:r>
            <w:r>
              <w:rPr>
                <w:rFonts w:ascii="Arial" w:eastAsia="Arial Unicode MS" w:hAnsi="Arial" w:cs="Arial"/>
                <w:kern w:val="1"/>
                <w:lang w:val="es-ES_tradnl" w:eastAsia="ar-SA"/>
              </w:rPr>
              <w:t xml:space="preserve">se obtienen a través de un programa de seguimiento </w:t>
            </w:r>
            <w:r w:rsidR="00F6147F">
              <w:rPr>
                <w:rFonts w:ascii="Arial" w:eastAsia="Arial Unicode MS" w:hAnsi="Arial" w:cs="Arial"/>
                <w:kern w:val="1"/>
                <w:lang w:val="es-ES_tradnl" w:eastAsia="ar-SA"/>
              </w:rPr>
              <w:t xml:space="preserve">llevado a cabo con recursos propios </w:t>
            </w:r>
            <w:r>
              <w:rPr>
                <w:rFonts w:ascii="Arial" w:eastAsia="Arial Unicode MS" w:hAnsi="Arial" w:cs="Arial"/>
                <w:kern w:val="1"/>
                <w:lang w:val="es-ES_tradnl" w:eastAsia="ar-SA"/>
              </w:rPr>
              <w:t>de la Sociedad de Ciencias Aranzadi.</w:t>
            </w:r>
          </w:p>
          <w:p w14:paraId="74BAD478" w14:textId="77777777" w:rsidR="006A3648" w:rsidRPr="006A3648" w:rsidRDefault="006A3648" w:rsidP="006A3648">
            <w:pPr>
              <w:tabs>
                <w:tab w:val="left" w:pos="0"/>
              </w:tabs>
              <w:jc w:val="center"/>
              <w:rPr>
                <w:rFonts w:ascii="Arial" w:hAnsi="Arial" w:cs="Arial"/>
                <w:b/>
                <w:lang w:val="es-ES_tradnl"/>
              </w:rPr>
            </w:pPr>
            <w:r w:rsidRPr="006A3648">
              <w:rPr>
                <w:rFonts w:ascii="Arial" w:hAnsi="Arial" w:cs="Arial"/>
                <w:b/>
                <w:noProof/>
                <w:lang w:eastAsia="es-ES"/>
              </w:rPr>
              <w:drawing>
                <wp:inline distT="0" distB="0" distL="0" distR="0" wp14:anchorId="74BE9EA8" wp14:editId="5B8CBF25">
                  <wp:extent cx="3636000" cy="3041657"/>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t="12447" b="5794"/>
                          <a:stretch>
                            <a:fillRect/>
                          </a:stretch>
                        </pic:blipFill>
                        <pic:spPr bwMode="auto">
                          <a:xfrm>
                            <a:off x="0" y="0"/>
                            <a:ext cx="3636000" cy="3041657"/>
                          </a:xfrm>
                          <a:prstGeom prst="rect">
                            <a:avLst/>
                          </a:prstGeom>
                          <a:noFill/>
                          <a:ln>
                            <a:noFill/>
                          </a:ln>
                        </pic:spPr>
                      </pic:pic>
                    </a:graphicData>
                  </a:graphic>
                </wp:inline>
              </w:drawing>
            </w:r>
          </w:p>
          <w:p w14:paraId="3E75F335" w14:textId="77777777" w:rsidR="001F6CF8" w:rsidRPr="00347989" w:rsidRDefault="006A3648" w:rsidP="0051214D">
            <w:pPr>
              <w:suppressAutoHyphens/>
              <w:spacing w:after="200" w:line="360" w:lineRule="auto"/>
              <w:ind w:left="141" w:right="164"/>
              <w:jc w:val="both"/>
              <w:outlineLvl w:val="0"/>
              <w:rPr>
                <w:rFonts w:ascii="Arial" w:eastAsia="Arial Unicode MS" w:hAnsi="Arial" w:cs="Arial"/>
                <w:kern w:val="1"/>
                <w:sz w:val="18"/>
                <w:szCs w:val="18"/>
                <w:lang w:val="es-ES_tradnl" w:eastAsia="ar-SA"/>
              </w:rPr>
            </w:pPr>
            <w:r w:rsidRPr="00347989">
              <w:rPr>
                <w:rFonts w:ascii="Arial" w:eastAsia="Arial Unicode MS" w:hAnsi="Arial" w:cs="Arial"/>
                <w:b/>
                <w:smallCaps/>
                <w:kern w:val="20"/>
                <w:sz w:val="18"/>
                <w:szCs w:val="18"/>
                <w:lang w:val="es-ES_tradnl" w:eastAsia="ar-SA"/>
              </w:rPr>
              <w:t>Figura 6</w:t>
            </w:r>
            <w:r w:rsidRPr="00347989">
              <w:rPr>
                <w:rFonts w:ascii="Arial" w:eastAsia="Arial Unicode MS" w:hAnsi="Arial" w:cs="Arial"/>
                <w:kern w:val="1"/>
                <w:sz w:val="18"/>
                <w:szCs w:val="18"/>
                <w:lang w:val="es-ES_tradnl" w:eastAsia="ar-SA"/>
              </w:rPr>
              <w:t xml:space="preserve">. </w:t>
            </w:r>
            <w:r w:rsidR="005D4B22" w:rsidRPr="00347989">
              <w:rPr>
                <w:rFonts w:ascii="Arial" w:eastAsia="Arial Unicode MS" w:hAnsi="Arial" w:cs="Arial"/>
                <w:kern w:val="1"/>
                <w:sz w:val="18"/>
                <w:szCs w:val="18"/>
                <w:lang w:val="es-ES_tradnl" w:eastAsia="ar-SA"/>
              </w:rPr>
              <w:t>Tamaño poblacional estimado a través del conteo de puestas en dos periodos evaluados</w:t>
            </w:r>
            <w:r w:rsidR="007D0DBB" w:rsidRPr="00347989">
              <w:rPr>
                <w:rFonts w:ascii="Arial" w:eastAsia="Arial Unicode MS" w:hAnsi="Arial" w:cs="Arial"/>
                <w:kern w:val="1"/>
                <w:sz w:val="18"/>
                <w:szCs w:val="18"/>
                <w:lang w:val="es-ES_tradnl" w:eastAsia="ar-SA"/>
              </w:rPr>
              <w:t>:</w:t>
            </w:r>
            <w:r w:rsidR="005D4B22" w:rsidRPr="00347989">
              <w:rPr>
                <w:rFonts w:ascii="Arial" w:eastAsia="Arial Unicode MS" w:hAnsi="Arial" w:cs="Arial"/>
                <w:kern w:val="1"/>
                <w:sz w:val="18"/>
                <w:szCs w:val="18"/>
                <w:lang w:val="es-ES_tradnl" w:eastAsia="ar-SA"/>
              </w:rPr>
              <w:t xml:space="preserve"> primeros seis años (abajo) y los últimos siete (arriba).</w:t>
            </w:r>
          </w:p>
          <w:p w14:paraId="4E001C95" w14:textId="4C01561B" w:rsidR="001F6CF8" w:rsidRPr="005D4B22" w:rsidRDefault="005D4B22" w:rsidP="005D4B22">
            <w:pPr>
              <w:pStyle w:val="Prrafodelista"/>
              <w:numPr>
                <w:ilvl w:val="0"/>
                <w:numId w:val="13"/>
              </w:numPr>
              <w:suppressAutoHyphens/>
              <w:spacing w:after="200" w:line="360" w:lineRule="auto"/>
              <w:ind w:right="45"/>
              <w:jc w:val="both"/>
              <w:outlineLvl w:val="0"/>
              <w:rPr>
                <w:rFonts w:ascii="Arial" w:eastAsia="Arial Unicode MS" w:hAnsi="Arial" w:cs="Arial"/>
                <w:b/>
                <w:kern w:val="1"/>
                <w:lang w:val="es-ES_tradnl" w:eastAsia="ar-SA"/>
              </w:rPr>
            </w:pPr>
            <w:r w:rsidRPr="005D4B22">
              <w:rPr>
                <w:rFonts w:ascii="Arial" w:eastAsia="Arial Unicode MS" w:hAnsi="Arial" w:cs="Arial"/>
                <w:b/>
                <w:kern w:val="1"/>
                <w:lang w:val="es-ES_tradnl" w:eastAsia="ar-SA"/>
              </w:rPr>
              <w:t xml:space="preserve">Población del arenal de </w:t>
            </w:r>
            <w:r w:rsidR="007D0DBB">
              <w:rPr>
                <w:rFonts w:ascii="Arial" w:eastAsia="Arial Unicode MS" w:hAnsi="Arial" w:cs="Arial"/>
                <w:b/>
                <w:kern w:val="1"/>
                <w:lang w:val="es-ES_tradnl" w:eastAsia="ar-SA"/>
              </w:rPr>
              <w:t>Gorrondatxe</w:t>
            </w:r>
          </w:p>
          <w:p w14:paraId="75556248" w14:textId="4F92531D" w:rsidR="001F6CF8" w:rsidRDefault="005D4B22" w:rsidP="00564103">
            <w:pPr>
              <w:suppressAutoHyphens/>
              <w:spacing w:after="200" w:line="360" w:lineRule="auto"/>
              <w:ind w:right="45"/>
              <w:jc w:val="both"/>
              <w:outlineLvl w:val="0"/>
              <w:rPr>
                <w:rFonts w:ascii="Arial" w:eastAsia="Arial Unicode MS" w:hAnsi="Arial" w:cs="Arial"/>
                <w:kern w:val="1"/>
                <w:lang w:val="es-ES_tradnl" w:eastAsia="ar-SA"/>
              </w:rPr>
            </w:pPr>
            <w:r>
              <w:rPr>
                <w:rFonts w:ascii="Arial" w:eastAsia="Arial Unicode MS" w:hAnsi="Arial" w:cs="Arial"/>
                <w:kern w:val="1"/>
                <w:lang w:val="es-ES_tradnl" w:eastAsia="ar-SA"/>
              </w:rPr>
              <w:t xml:space="preserve">En el caso de la población vizcaína, el seguimiento se viene realizando desde hace 15 años de forma ininterrumpida, </w:t>
            </w:r>
            <w:r w:rsidR="007D0DBB">
              <w:rPr>
                <w:rFonts w:ascii="Arial" w:eastAsia="Arial Unicode MS" w:hAnsi="Arial" w:cs="Arial"/>
                <w:kern w:val="1"/>
                <w:lang w:val="es-ES_tradnl" w:eastAsia="ar-SA"/>
              </w:rPr>
              <w:t>financiado por</w:t>
            </w:r>
            <w:r>
              <w:rPr>
                <w:rFonts w:ascii="Arial" w:eastAsia="Arial Unicode MS" w:hAnsi="Arial" w:cs="Arial"/>
                <w:kern w:val="1"/>
                <w:lang w:val="es-ES_tradnl" w:eastAsia="ar-SA"/>
              </w:rPr>
              <w:t xml:space="preserve"> la Diputación Foral de Bizkaia. E</w:t>
            </w:r>
            <w:r w:rsidR="00F36728">
              <w:rPr>
                <w:rFonts w:ascii="Arial" w:eastAsia="Arial Unicode MS" w:hAnsi="Arial" w:cs="Arial"/>
                <w:kern w:val="1"/>
                <w:lang w:val="es-ES_tradnl" w:eastAsia="ar-SA"/>
              </w:rPr>
              <w:t xml:space="preserve">n los muestreos realizados se combinan tres </w:t>
            </w:r>
            <w:r w:rsidR="0051214D">
              <w:rPr>
                <w:rFonts w:ascii="Arial" w:eastAsia="Arial Unicode MS" w:hAnsi="Arial" w:cs="Arial"/>
                <w:kern w:val="1"/>
                <w:lang w:val="es-ES_tradnl" w:eastAsia="ar-SA"/>
              </w:rPr>
              <w:t>metodologías</w:t>
            </w:r>
            <w:r w:rsidR="00F36728">
              <w:rPr>
                <w:rFonts w:ascii="Arial" w:eastAsia="Arial Unicode MS" w:hAnsi="Arial" w:cs="Arial"/>
                <w:kern w:val="1"/>
                <w:lang w:val="es-ES_tradnl" w:eastAsia="ar-SA"/>
              </w:rPr>
              <w:t xml:space="preserve"> para estimar el tamaño poblacional: el </w:t>
            </w:r>
            <w:r w:rsidR="0051214D">
              <w:rPr>
                <w:rFonts w:ascii="Arial" w:eastAsia="Arial Unicode MS" w:hAnsi="Arial" w:cs="Arial"/>
                <w:kern w:val="1"/>
                <w:lang w:val="es-ES_tradnl" w:eastAsia="ar-SA"/>
              </w:rPr>
              <w:t>recuento</w:t>
            </w:r>
            <w:r w:rsidR="00F36728">
              <w:rPr>
                <w:rFonts w:ascii="Arial" w:eastAsia="Arial Unicode MS" w:hAnsi="Arial" w:cs="Arial"/>
                <w:kern w:val="1"/>
                <w:lang w:val="es-ES_tradnl" w:eastAsia="ar-SA"/>
              </w:rPr>
              <w:t xml:space="preserve"> de puestas</w:t>
            </w:r>
            <w:r w:rsidR="00564103">
              <w:rPr>
                <w:rFonts w:ascii="Arial" w:eastAsia="Arial Unicode MS" w:hAnsi="Arial" w:cs="Arial"/>
                <w:kern w:val="1"/>
                <w:lang w:val="es-ES_tradnl" w:eastAsia="ar-SA"/>
              </w:rPr>
              <w:t xml:space="preserve"> (</w:t>
            </w:r>
            <w:r w:rsidR="00564103" w:rsidRPr="00B776B9">
              <w:rPr>
                <w:rFonts w:ascii="Arial" w:eastAsia="Arial Unicode MS" w:hAnsi="Arial" w:cs="Arial"/>
                <w:smallCaps/>
                <w:kern w:val="22"/>
                <w:lang w:val="es-ES_tradnl" w:eastAsia="ar-SA"/>
              </w:rPr>
              <w:t>figura 7</w:t>
            </w:r>
            <w:r w:rsidR="00564103">
              <w:rPr>
                <w:rFonts w:ascii="Arial" w:eastAsia="Arial Unicode MS" w:hAnsi="Arial" w:cs="Arial"/>
                <w:kern w:val="1"/>
                <w:lang w:val="es-ES_tradnl" w:eastAsia="ar-SA"/>
              </w:rPr>
              <w:t>)</w:t>
            </w:r>
            <w:r w:rsidR="00F36728">
              <w:rPr>
                <w:rFonts w:ascii="Arial" w:eastAsia="Arial Unicode MS" w:hAnsi="Arial" w:cs="Arial"/>
                <w:kern w:val="1"/>
                <w:lang w:val="es-ES_tradnl" w:eastAsia="ar-SA"/>
              </w:rPr>
              <w:t>, el número máximo de machos reproductores detectados en el encharcamiento principal</w:t>
            </w:r>
            <w:r w:rsidR="00564103">
              <w:rPr>
                <w:rFonts w:ascii="Arial" w:eastAsia="Arial Unicode MS" w:hAnsi="Arial" w:cs="Arial"/>
                <w:kern w:val="1"/>
                <w:lang w:val="es-ES_tradnl" w:eastAsia="ar-SA"/>
              </w:rPr>
              <w:t xml:space="preserve"> (</w:t>
            </w:r>
            <w:r w:rsidR="00564103" w:rsidRPr="00B776B9">
              <w:rPr>
                <w:rFonts w:ascii="Arial" w:eastAsia="Arial Unicode MS" w:hAnsi="Arial" w:cs="Arial"/>
                <w:smallCaps/>
                <w:kern w:val="22"/>
                <w:lang w:val="es-ES_tradnl" w:eastAsia="ar-SA"/>
              </w:rPr>
              <w:t>figura 8</w:t>
            </w:r>
            <w:r w:rsidR="00564103">
              <w:rPr>
                <w:rFonts w:ascii="Arial" w:eastAsia="Arial Unicode MS" w:hAnsi="Arial" w:cs="Arial"/>
                <w:kern w:val="1"/>
                <w:lang w:val="es-ES_tradnl" w:eastAsia="ar-SA"/>
              </w:rPr>
              <w:t>)</w:t>
            </w:r>
            <w:r w:rsidR="00F36728">
              <w:rPr>
                <w:rFonts w:ascii="Arial" w:eastAsia="Arial Unicode MS" w:hAnsi="Arial" w:cs="Arial"/>
                <w:kern w:val="1"/>
                <w:lang w:val="es-ES_tradnl" w:eastAsia="ar-SA"/>
              </w:rPr>
              <w:t xml:space="preserve"> y el número de individuos</w:t>
            </w:r>
            <w:r w:rsidR="007D0DBB">
              <w:rPr>
                <w:rFonts w:ascii="Arial" w:eastAsia="Arial Unicode MS" w:hAnsi="Arial" w:cs="Arial"/>
                <w:kern w:val="1"/>
                <w:lang w:val="es-ES_tradnl" w:eastAsia="ar-SA"/>
              </w:rPr>
              <w:t xml:space="preserve"> por kilómetro</w:t>
            </w:r>
            <w:r w:rsidR="00F36728">
              <w:rPr>
                <w:rFonts w:ascii="Arial" w:eastAsia="Arial Unicode MS" w:hAnsi="Arial" w:cs="Arial"/>
                <w:kern w:val="1"/>
                <w:lang w:val="es-ES_tradnl" w:eastAsia="ar-SA"/>
              </w:rPr>
              <w:t xml:space="preserve"> observados en </w:t>
            </w:r>
            <w:r w:rsidR="007D0DBB">
              <w:rPr>
                <w:rFonts w:ascii="Arial" w:eastAsia="Arial Unicode MS" w:hAnsi="Arial" w:cs="Arial"/>
                <w:kern w:val="1"/>
                <w:lang w:val="es-ES_tradnl" w:eastAsia="ar-SA"/>
              </w:rPr>
              <w:t>los transectos</w:t>
            </w:r>
            <w:r w:rsidR="00F36728">
              <w:rPr>
                <w:rFonts w:ascii="Arial" w:eastAsia="Arial Unicode MS" w:hAnsi="Arial" w:cs="Arial"/>
                <w:kern w:val="1"/>
                <w:lang w:val="es-ES_tradnl" w:eastAsia="ar-SA"/>
              </w:rPr>
              <w:t xml:space="preserve"> realizado</w:t>
            </w:r>
            <w:r w:rsidR="007D0DBB">
              <w:rPr>
                <w:rFonts w:ascii="Arial" w:eastAsia="Arial Unicode MS" w:hAnsi="Arial" w:cs="Arial"/>
                <w:kern w:val="1"/>
                <w:lang w:val="es-ES_tradnl" w:eastAsia="ar-SA"/>
              </w:rPr>
              <w:t>s</w:t>
            </w:r>
            <w:r w:rsidR="00F36728">
              <w:rPr>
                <w:rFonts w:ascii="Arial" w:eastAsia="Arial Unicode MS" w:hAnsi="Arial" w:cs="Arial"/>
                <w:kern w:val="1"/>
                <w:lang w:val="es-ES_tradnl" w:eastAsia="ar-SA"/>
              </w:rPr>
              <w:t xml:space="preserve"> tanto en el arenal (</w:t>
            </w:r>
            <w:r w:rsidR="00C03BC8" w:rsidRPr="00C37902">
              <w:rPr>
                <w:rFonts w:ascii="Arial" w:eastAsia="Arial Unicode MS" w:hAnsi="Arial" w:cs="Arial"/>
                <w:smallCaps/>
                <w:kern w:val="22"/>
                <w:lang w:val="es-ES_tradnl" w:eastAsia="ar-SA"/>
              </w:rPr>
              <w:t>figura 9</w:t>
            </w:r>
            <w:r w:rsidR="00F36728">
              <w:rPr>
                <w:rFonts w:ascii="Arial" w:eastAsia="Arial Unicode MS" w:hAnsi="Arial" w:cs="Arial"/>
                <w:kern w:val="1"/>
                <w:lang w:val="es-ES_tradnl" w:eastAsia="ar-SA"/>
              </w:rPr>
              <w:t>)</w:t>
            </w:r>
            <w:r w:rsidR="0051214D">
              <w:rPr>
                <w:rFonts w:ascii="Arial" w:eastAsia="Arial Unicode MS" w:hAnsi="Arial" w:cs="Arial"/>
                <w:kern w:val="1"/>
                <w:lang w:val="es-ES_tradnl" w:eastAsia="ar-SA"/>
              </w:rPr>
              <w:t>,</w:t>
            </w:r>
            <w:r w:rsidR="00F36728">
              <w:rPr>
                <w:rFonts w:ascii="Arial" w:eastAsia="Arial Unicode MS" w:hAnsi="Arial" w:cs="Arial"/>
                <w:kern w:val="1"/>
                <w:lang w:val="es-ES_tradnl" w:eastAsia="ar-SA"/>
              </w:rPr>
              <w:t xml:space="preserve"> como fuera de él</w:t>
            </w:r>
            <w:r w:rsidR="007D0DBB">
              <w:rPr>
                <w:rFonts w:ascii="Arial" w:eastAsia="Arial Unicode MS" w:hAnsi="Arial" w:cs="Arial"/>
                <w:kern w:val="1"/>
                <w:lang w:val="es-ES_tradnl" w:eastAsia="ar-SA"/>
              </w:rPr>
              <w:t xml:space="preserve"> (</w:t>
            </w:r>
            <w:r w:rsidR="00C03BC8">
              <w:rPr>
                <w:rFonts w:ascii="Arial" w:eastAsia="Arial Unicode MS" w:hAnsi="Arial" w:cs="Arial"/>
                <w:smallCaps/>
                <w:kern w:val="22"/>
                <w:lang w:val="es-ES_tradnl" w:eastAsia="ar-SA"/>
              </w:rPr>
              <w:t xml:space="preserve">Laza-martínez </w:t>
            </w:r>
            <w:r w:rsidR="00C03BC8" w:rsidRPr="00C37902">
              <w:rPr>
                <w:rFonts w:ascii="Arial" w:eastAsia="Arial Unicode MS" w:hAnsi="Arial" w:cs="Arial"/>
                <w:i/>
                <w:kern w:val="22"/>
                <w:lang w:val="es-ES_tradnl" w:eastAsia="ar-SA"/>
              </w:rPr>
              <w:t>et al</w:t>
            </w:r>
            <w:r w:rsidR="00C03BC8" w:rsidRPr="00C37902">
              <w:rPr>
                <w:rFonts w:ascii="Arial" w:eastAsia="Arial Unicode MS" w:hAnsi="Arial" w:cs="Arial"/>
                <w:kern w:val="22"/>
                <w:lang w:val="es-ES_tradnl" w:eastAsia="ar-SA"/>
              </w:rPr>
              <w:t>., 2017</w:t>
            </w:r>
            <w:r w:rsidR="007D0DBB">
              <w:rPr>
                <w:rFonts w:ascii="Arial" w:eastAsia="Arial Unicode MS" w:hAnsi="Arial" w:cs="Arial"/>
                <w:kern w:val="1"/>
                <w:lang w:val="es-ES_tradnl" w:eastAsia="ar-SA"/>
              </w:rPr>
              <w:t>)</w:t>
            </w:r>
            <w:r w:rsidR="00F36728">
              <w:rPr>
                <w:rFonts w:ascii="Arial" w:eastAsia="Arial Unicode MS" w:hAnsi="Arial" w:cs="Arial"/>
                <w:kern w:val="1"/>
                <w:lang w:val="es-ES_tradnl" w:eastAsia="ar-SA"/>
              </w:rPr>
              <w:t xml:space="preserve">. Los resultados </w:t>
            </w:r>
            <w:r w:rsidR="0051214D">
              <w:rPr>
                <w:rFonts w:ascii="Arial" w:eastAsia="Arial Unicode MS" w:hAnsi="Arial" w:cs="Arial"/>
                <w:kern w:val="1"/>
                <w:lang w:val="es-ES_tradnl" w:eastAsia="ar-SA"/>
              </w:rPr>
              <w:t>en cuanto a</w:t>
            </w:r>
            <w:r w:rsidR="00564103">
              <w:rPr>
                <w:rFonts w:ascii="Arial" w:eastAsia="Arial Unicode MS" w:hAnsi="Arial" w:cs="Arial"/>
                <w:kern w:val="1"/>
                <w:lang w:val="es-ES_tradnl" w:eastAsia="ar-SA"/>
              </w:rPr>
              <w:t xml:space="preserve"> tendencia poblacional presentan trayectorias semejantes a la</w:t>
            </w:r>
            <w:r w:rsidR="0051214D">
              <w:rPr>
                <w:rFonts w:ascii="Arial" w:eastAsia="Arial Unicode MS" w:hAnsi="Arial" w:cs="Arial"/>
                <w:kern w:val="1"/>
                <w:lang w:val="es-ES_tradnl" w:eastAsia="ar-SA"/>
              </w:rPr>
              <w:t>s</w:t>
            </w:r>
            <w:r w:rsidR="00564103">
              <w:rPr>
                <w:rFonts w:ascii="Arial" w:eastAsia="Arial Unicode MS" w:hAnsi="Arial" w:cs="Arial"/>
                <w:kern w:val="1"/>
                <w:lang w:val="es-ES_tradnl" w:eastAsia="ar-SA"/>
              </w:rPr>
              <w:t xml:space="preserve"> descrita</w:t>
            </w:r>
            <w:r w:rsidR="0051214D">
              <w:rPr>
                <w:rFonts w:ascii="Arial" w:eastAsia="Arial Unicode MS" w:hAnsi="Arial" w:cs="Arial"/>
                <w:kern w:val="1"/>
                <w:lang w:val="es-ES_tradnl" w:eastAsia="ar-SA"/>
              </w:rPr>
              <w:t>s</w:t>
            </w:r>
            <w:r w:rsidR="00564103">
              <w:rPr>
                <w:rFonts w:ascii="Arial" w:eastAsia="Arial Unicode MS" w:hAnsi="Arial" w:cs="Arial"/>
                <w:kern w:val="1"/>
                <w:lang w:val="es-ES_tradnl" w:eastAsia="ar-SA"/>
              </w:rPr>
              <w:t xml:space="preserve"> en el apartado de</w:t>
            </w:r>
            <w:r w:rsidR="007D0DBB">
              <w:rPr>
                <w:rFonts w:ascii="Arial" w:eastAsia="Arial Unicode MS" w:hAnsi="Arial" w:cs="Arial"/>
                <w:kern w:val="1"/>
                <w:lang w:val="es-ES_tradnl" w:eastAsia="ar-SA"/>
              </w:rPr>
              <w:t>l</w:t>
            </w:r>
            <w:r w:rsidR="00564103">
              <w:rPr>
                <w:rFonts w:ascii="Arial" w:eastAsia="Arial Unicode MS" w:hAnsi="Arial" w:cs="Arial"/>
                <w:kern w:val="1"/>
                <w:lang w:val="es-ES_tradnl" w:eastAsia="ar-SA"/>
              </w:rPr>
              <w:t xml:space="preserve"> área de distribución</w:t>
            </w:r>
            <w:r w:rsidR="0051214D">
              <w:rPr>
                <w:rFonts w:ascii="Arial" w:eastAsia="Arial Unicode MS" w:hAnsi="Arial" w:cs="Arial"/>
                <w:kern w:val="1"/>
                <w:lang w:val="es-ES_tradnl" w:eastAsia="ar-SA"/>
              </w:rPr>
              <w:t>: un</w:t>
            </w:r>
            <w:r w:rsidR="00C03BC8">
              <w:rPr>
                <w:rFonts w:ascii="Arial" w:eastAsia="Arial Unicode MS" w:hAnsi="Arial" w:cs="Arial"/>
                <w:kern w:val="1"/>
                <w:lang w:val="es-ES_tradnl" w:eastAsia="ar-SA"/>
              </w:rPr>
              <w:t>a</w:t>
            </w:r>
            <w:r w:rsidR="00564103">
              <w:rPr>
                <w:rFonts w:ascii="Arial" w:eastAsia="Arial Unicode MS" w:hAnsi="Arial" w:cs="Arial"/>
                <w:kern w:val="1"/>
                <w:lang w:val="es-ES_tradnl" w:eastAsia="ar-SA"/>
              </w:rPr>
              <w:t xml:space="preserve"> fase inicial </w:t>
            </w:r>
            <w:r w:rsidR="0051214D">
              <w:rPr>
                <w:rFonts w:ascii="Arial" w:eastAsia="Arial Unicode MS" w:hAnsi="Arial" w:cs="Arial"/>
                <w:kern w:val="1"/>
                <w:lang w:val="es-ES_tradnl" w:eastAsia="ar-SA"/>
              </w:rPr>
              <w:t>de 5-6 años de crecimiento exponencial; una fase de 4-5 años</w:t>
            </w:r>
            <w:r w:rsidR="00564103">
              <w:rPr>
                <w:rFonts w:ascii="Arial" w:eastAsia="Arial Unicode MS" w:hAnsi="Arial" w:cs="Arial"/>
                <w:kern w:val="1"/>
                <w:lang w:val="es-ES_tradnl" w:eastAsia="ar-SA"/>
              </w:rPr>
              <w:t xml:space="preserve"> de estabilización</w:t>
            </w:r>
            <w:r w:rsidR="0051214D">
              <w:rPr>
                <w:rFonts w:ascii="Arial" w:eastAsia="Arial Unicode MS" w:hAnsi="Arial" w:cs="Arial"/>
                <w:kern w:val="1"/>
                <w:lang w:val="es-ES_tradnl" w:eastAsia="ar-SA"/>
              </w:rPr>
              <w:t>, con cierta bajada;</w:t>
            </w:r>
            <w:r w:rsidR="00564103">
              <w:rPr>
                <w:rFonts w:ascii="Arial" w:eastAsia="Arial Unicode MS" w:hAnsi="Arial" w:cs="Arial"/>
                <w:kern w:val="1"/>
                <w:lang w:val="es-ES_tradnl" w:eastAsia="ar-SA"/>
              </w:rPr>
              <w:t xml:space="preserve"> y una fase final de declive acusado que se ha acentuado </w:t>
            </w:r>
            <w:r w:rsidR="0051214D">
              <w:rPr>
                <w:rFonts w:ascii="Arial" w:eastAsia="Arial Unicode MS" w:hAnsi="Arial" w:cs="Arial"/>
                <w:kern w:val="1"/>
                <w:lang w:val="es-ES_tradnl" w:eastAsia="ar-SA"/>
              </w:rPr>
              <w:t>e</w:t>
            </w:r>
            <w:r w:rsidR="00564103">
              <w:rPr>
                <w:rFonts w:ascii="Arial" w:eastAsia="Arial Unicode MS" w:hAnsi="Arial" w:cs="Arial"/>
                <w:kern w:val="1"/>
                <w:lang w:val="es-ES_tradnl" w:eastAsia="ar-SA"/>
              </w:rPr>
              <w:t>n los años 2016 y</w:t>
            </w:r>
            <w:r w:rsidR="0051214D">
              <w:rPr>
                <w:rFonts w:ascii="Arial" w:eastAsia="Arial Unicode MS" w:hAnsi="Arial" w:cs="Arial"/>
                <w:kern w:val="1"/>
                <w:lang w:val="es-ES_tradnl" w:eastAsia="ar-SA"/>
              </w:rPr>
              <w:t>,</w:t>
            </w:r>
            <w:r w:rsidR="00564103">
              <w:rPr>
                <w:rFonts w:ascii="Arial" w:eastAsia="Arial Unicode MS" w:hAnsi="Arial" w:cs="Arial"/>
                <w:kern w:val="1"/>
                <w:lang w:val="es-ES_tradnl" w:eastAsia="ar-SA"/>
              </w:rPr>
              <w:t xml:space="preserve"> sobre todo</w:t>
            </w:r>
            <w:r w:rsidR="0051214D">
              <w:rPr>
                <w:rFonts w:ascii="Arial" w:eastAsia="Arial Unicode MS" w:hAnsi="Arial" w:cs="Arial"/>
                <w:kern w:val="1"/>
                <w:lang w:val="es-ES_tradnl" w:eastAsia="ar-SA"/>
              </w:rPr>
              <w:t>,</w:t>
            </w:r>
            <w:r w:rsidR="00564103">
              <w:rPr>
                <w:rFonts w:ascii="Arial" w:eastAsia="Arial Unicode MS" w:hAnsi="Arial" w:cs="Arial"/>
                <w:kern w:val="1"/>
                <w:lang w:val="es-ES_tradnl" w:eastAsia="ar-SA"/>
              </w:rPr>
              <w:t xml:space="preserve"> 2017 </w:t>
            </w:r>
            <w:r w:rsidR="0051214D">
              <w:rPr>
                <w:rFonts w:ascii="Arial" w:eastAsia="Arial Unicode MS" w:hAnsi="Arial" w:cs="Arial"/>
                <w:kern w:val="1"/>
                <w:lang w:val="es-ES_tradnl" w:eastAsia="ar-SA"/>
              </w:rPr>
              <w:t>(</w:t>
            </w:r>
            <w:r w:rsidR="00564103">
              <w:rPr>
                <w:rFonts w:ascii="Arial" w:eastAsia="Arial Unicode MS" w:hAnsi="Arial" w:cs="Arial"/>
                <w:kern w:val="1"/>
                <w:lang w:val="es-ES_tradnl" w:eastAsia="ar-SA"/>
              </w:rPr>
              <w:t xml:space="preserve">el primer año desde </w:t>
            </w:r>
            <w:r w:rsidR="001F3C22">
              <w:rPr>
                <w:rFonts w:ascii="Arial" w:eastAsia="Arial Unicode MS" w:hAnsi="Arial" w:cs="Arial"/>
                <w:kern w:val="1"/>
                <w:lang w:val="es-ES_tradnl" w:eastAsia="ar-SA"/>
              </w:rPr>
              <w:t>el comienzo</w:t>
            </w:r>
            <w:r w:rsidR="00564103">
              <w:rPr>
                <w:rFonts w:ascii="Arial" w:eastAsia="Arial Unicode MS" w:hAnsi="Arial" w:cs="Arial"/>
                <w:kern w:val="1"/>
                <w:lang w:val="es-ES_tradnl" w:eastAsia="ar-SA"/>
              </w:rPr>
              <w:t xml:space="preserve"> del programa de seguimiento en el que no se han detecta</w:t>
            </w:r>
            <w:r w:rsidR="0051214D">
              <w:rPr>
                <w:rFonts w:ascii="Arial" w:eastAsia="Arial Unicode MS" w:hAnsi="Arial" w:cs="Arial"/>
                <w:kern w:val="1"/>
                <w:lang w:val="es-ES_tradnl" w:eastAsia="ar-SA"/>
              </w:rPr>
              <w:t xml:space="preserve">do puestas; </w:t>
            </w:r>
            <w:r w:rsidR="00564103" w:rsidRPr="00B776B9">
              <w:rPr>
                <w:rFonts w:ascii="Arial" w:eastAsia="Arial Unicode MS" w:hAnsi="Arial" w:cs="Arial"/>
                <w:smallCaps/>
                <w:kern w:val="22"/>
                <w:lang w:val="es-ES_tradnl" w:eastAsia="ar-SA"/>
              </w:rPr>
              <w:t>figura 7</w:t>
            </w:r>
            <w:r w:rsidR="00564103">
              <w:rPr>
                <w:rFonts w:ascii="Arial" w:eastAsia="Arial Unicode MS" w:hAnsi="Arial" w:cs="Arial"/>
                <w:kern w:val="1"/>
                <w:lang w:val="es-ES_tradnl" w:eastAsia="ar-SA"/>
              </w:rPr>
              <w:t>).</w:t>
            </w:r>
            <w:r w:rsidR="008E455A">
              <w:rPr>
                <w:rFonts w:ascii="Arial" w:eastAsia="Arial Unicode MS" w:hAnsi="Arial" w:cs="Arial"/>
                <w:kern w:val="1"/>
                <w:lang w:val="es-ES_tradnl" w:eastAsia="ar-SA"/>
              </w:rPr>
              <w:t xml:space="preserve"> En los últimos dos años </w:t>
            </w:r>
            <w:r w:rsidR="00AE0FFE">
              <w:rPr>
                <w:rFonts w:ascii="Arial" w:eastAsia="Arial Unicode MS" w:hAnsi="Arial" w:cs="Arial"/>
                <w:kern w:val="1"/>
                <w:lang w:val="es-ES_tradnl" w:eastAsia="ar-SA"/>
              </w:rPr>
              <w:t>(</w:t>
            </w:r>
            <w:r w:rsidR="008E455A">
              <w:rPr>
                <w:rFonts w:ascii="Arial" w:eastAsia="Arial Unicode MS" w:hAnsi="Arial" w:cs="Arial"/>
                <w:kern w:val="1"/>
                <w:lang w:val="es-ES_tradnl" w:eastAsia="ar-SA"/>
              </w:rPr>
              <w:t>2018-2019</w:t>
            </w:r>
            <w:r w:rsidR="00AE0FFE">
              <w:rPr>
                <w:rFonts w:ascii="Arial" w:eastAsia="Arial Unicode MS" w:hAnsi="Arial" w:cs="Arial"/>
                <w:kern w:val="1"/>
                <w:lang w:val="es-ES_tradnl" w:eastAsia="ar-SA"/>
              </w:rPr>
              <w:t>)</w:t>
            </w:r>
            <w:r w:rsidR="008E455A">
              <w:rPr>
                <w:rFonts w:ascii="Arial" w:eastAsia="Arial Unicode MS" w:hAnsi="Arial" w:cs="Arial"/>
                <w:kern w:val="1"/>
                <w:lang w:val="es-ES_tradnl" w:eastAsia="ar-SA"/>
              </w:rPr>
              <w:t xml:space="preserve"> se han contabilizado puestas (</w:t>
            </w:r>
            <w:r w:rsidR="00AE0FFE">
              <w:rPr>
                <w:rFonts w:ascii="Arial" w:eastAsia="Arial Unicode MS" w:hAnsi="Arial" w:cs="Arial"/>
                <w:kern w:val="1"/>
                <w:lang w:val="es-ES_tradnl" w:eastAsia="ar-SA"/>
              </w:rPr>
              <w:t xml:space="preserve">aunque </w:t>
            </w:r>
            <w:r w:rsidR="008E455A">
              <w:rPr>
                <w:rFonts w:ascii="Arial" w:eastAsia="Arial Unicode MS" w:hAnsi="Arial" w:cs="Arial"/>
                <w:kern w:val="1"/>
                <w:lang w:val="es-ES_tradnl" w:eastAsia="ar-SA"/>
              </w:rPr>
              <w:t>menos de diez por año)</w:t>
            </w:r>
            <w:r w:rsidR="00AE0FFE">
              <w:rPr>
                <w:rFonts w:ascii="Arial" w:eastAsia="Arial Unicode MS" w:hAnsi="Arial" w:cs="Arial"/>
                <w:kern w:val="1"/>
                <w:lang w:val="es-ES_tradnl" w:eastAsia="ar-SA"/>
              </w:rPr>
              <w:t>,</w:t>
            </w:r>
            <w:r w:rsidR="008E455A">
              <w:rPr>
                <w:rFonts w:ascii="Arial" w:eastAsia="Arial Unicode MS" w:hAnsi="Arial" w:cs="Arial"/>
                <w:kern w:val="1"/>
                <w:lang w:val="es-ES_tradnl" w:eastAsia="ar-SA"/>
              </w:rPr>
              <w:t xml:space="preserve"> por lo que pare</w:t>
            </w:r>
            <w:r w:rsidR="00AE0FFE">
              <w:rPr>
                <w:rFonts w:ascii="Arial" w:eastAsia="Arial Unicode MS" w:hAnsi="Arial" w:cs="Arial"/>
                <w:kern w:val="1"/>
                <w:lang w:val="es-ES_tradnl" w:eastAsia="ar-SA"/>
              </w:rPr>
              <w:t xml:space="preserve">ce que la población se mantiene. Pero, si se compara con </w:t>
            </w:r>
            <w:r w:rsidR="008E455A">
              <w:rPr>
                <w:rFonts w:ascii="Arial" w:eastAsia="Arial Unicode MS" w:hAnsi="Arial" w:cs="Arial"/>
                <w:kern w:val="1"/>
                <w:lang w:val="es-ES_tradnl" w:eastAsia="ar-SA"/>
              </w:rPr>
              <w:t>los datos obtenidos en 2009 (99 puestas)</w:t>
            </w:r>
            <w:r w:rsidR="00AE0FFE">
              <w:rPr>
                <w:rFonts w:ascii="Arial" w:eastAsia="Arial Unicode MS" w:hAnsi="Arial" w:cs="Arial"/>
                <w:kern w:val="1"/>
                <w:lang w:val="es-ES_tradnl" w:eastAsia="ar-SA"/>
              </w:rPr>
              <w:t>,</w:t>
            </w:r>
            <w:r w:rsidR="008E455A">
              <w:rPr>
                <w:rFonts w:ascii="Arial" w:eastAsia="Arial Unicode MS" w:hAnsi="Arial" w:cs="Arial"/>
                <w:kern w:val="1"/>
                <w:lang w:val="es-ES_tradnl" w:eastAsia="ar-SA"/>
              </w:rPr>
              <w:t xml:space="preserve"> la merma en el número de hembras reproductoras en los últimos 10 años ha sido superior al 90%.</w:t>
            </w:r>
          </w:p>
          <w:p w14:paraId="67A86269" w14:textId="77777777" w:rsidR="00564103" w:rsidRDefault="00564103" w:rsidP="00564103">
            <w:pPr>
              <w:suppressAutoHyphens/>
              <w:spacing w:after="200" w:line="360" w:lineRule="auto"/>
              <w:ind w:right="45"/>
              <w:jc w:val="both"/>
              <w:outlineLvl w:val="0"/>
              <w:rPr>
                <w:rFonts w:ascii="Arial" w:eastAsia="Arial Unicode MS" w:hAnsi="Arial" w:cs="Arial"/>
                <w:kern w:val="1"/>
                <w:lang w:val="es-ES_tradnl" w:eastAsia="ar-SA"/>
              </w:rPr>
            </w:pPr>
            <w:r>
              <w:rPr>
                <w:rFonts w:ascii="Arial" w:hAnsi="Arial" w:cs="Arial"/>
                <w:smallCaps/>
                <w:noProof/>
                <w:sz w:val="24"/>
                <w:szCs w:val="24"/>
                <w:lang w:eastAsia="es-ES"/>
              </w:rPr>
              <w:drawing>
                <wp:inline distT="0" distB="0" distL="0" distR="0" wp14:anchorId="66E14E56" wp14:editId="6D77BE88">
                  <wp:extent cx="3778945" cy="3700732"/>
                  <wp:effectExtent l="0" t="0" r="12065" b="14605"/>
                  <wp:docPr id="3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B395605" w14:textId="700C2CBA" w:rsidR="008E455A" w:rsidRPr="00347989" w:rsidRDefault="00564103" w:rsidP="00564103">
            <w:pPr>
              <w:suppressAutoHyphens/>
              <w:spacing w:after="200" w:line="360" w:lineRule="auto"/>
              <w:ind w:right="45"/>
              <w:jc w:val="both"/>
              <w:outlineLvl w:val="0"/>
              <w:rPr>
                <w:rFonts w:ascii="Arial" w:eastAsia="Arial Unicode MS" w:hAnsi="Arial" w:cs="Arial"/>
                <w:kern w:val="1"/>
                <w:sz w:val="18"/>
                <w:szCs w:val="18"/>
                <w:lang w:val="es-ES_tradnl" w:eastAsia="ar-SA"/>
              </w:rPr>
            </w:pPr>
            <w:r w:rsidRPr="00347989">
              <w:rPr>
                <w:rFonts w:ascii="Arial" w:eastAsia="Arial Unicode MS" w:hAnsi="Arial" w:cs="Arial"/>
                <w:b/>
                <w:smallCaps/>
                <w:kern w:val="20"/>
                <w:sz w:val="18"/>
                <w:szCs w:val="18"/>
                <w:lang w:val="es-ES_tradnl" w:eastAsia="ar-SA"/>
              </w:rPr>
              <w:t>Figura 7</w:t>
            </w:r>
            <w:r w:rsidRPr="00347989">
              <w:rPr>
                <w:rFonts w:ascii="Arial" w:eastAsia="Arial Unicode MS" w:hAnsi="Arial" w:cs="Arial"/>
                <w:kern w:val="1"/>
                <w:sz w:val="18"/>
                <w:szCs w:val="18"/>
                <w:lang w:val="es-ES_tradnl" w:eastAsia="ar-SA"/>
              </w:rPr>
              <w:t xml:space="preserve">. Número de puestas contabilizadas en el arenal de </w:t>
            </w:r>
            <w:r w:rsidR="007D0DBB" w:rsidRPr="00347989">
              <w:rPr>
                <w:rFonts w:ascii="Arial" w:eastAsia="Arial Unicode MS" w:hAnsi="Arial" w:cs="Arial"/>
                <w:kern w:val="1"/>
                <w:sz w:val="18"/>
                <w:szCs w:val="18"/>
                <w:lang w:val="es-ES_tradnl" w:eastAsia="ar-SA"/>
              </w:rPr>
              <w:t xml:space="preserve">Gorrondatxe </w:t>
            </w:r>
            <w:r w:rsidRPr="00347989">
              <w:rPr>
                <w:rFonts w:ascii="Arial" w:eastAsia="Arial Unicode MS" w:hAnsi="Arial" w:cs="Arial"/>
                <w:kern w:val="1"/>
                <w:sz w:val="18"/>
                <w:szCs w:val="18"/>
                <w:lang w:val="es-ES_tradnl" w:eastAsia="ar-SA"/>
              </w:rPr>
              <w:t>entre los años 2005 y 2017.</w:t>
            </w:r>
          </w:p>
          <w:p w14:paraId="31A5B26B" w14:textId="77777777" w:rsidR="00564103" w:rsidRDefault="008E455A" w:rsidP="00564103">
            <w:pPr>
              <w:suppressAutoHyphens/>
              <w:spacing w:after="200" w:line="360" w:lineRule="auto"/>
              <w:ind w:right="45"/>
              <w:jc w:val="both"/>
              <w:outlineLvl w:val="0"/>
              <w:rPr>
                <w:rFonts w:ascii="Arial" w:eastAsia="Arial Unicode MS" w:hAnsi="Arial" w:cs="Arial"/>
                <w:kern w:val="1"/>
                <w:lang w:val="es-ES_tradnl" w:eastAsia="ar-SA"/>
              </w:rPr>
            </w:pPr>
            <w:r>
              <w:rPr>
                <w:rFonts w:ascii="Arial" w:hAnsi="Arial" w:cs="Arial"/>
                <w:noProof/>
                <w:sz w:val="20"/>
                <w:szCs w:val="24"/>
                <w:lang w:eastAsia="es-ES"/>
              </w:rPr>
              <w:drawing>
                <wp:inline distT="0" distB="0" distL="0" distR="0" wp14:anchorId="1A54C05B" wp14:editId="77B54D1D">
                  <wp:extent cx="3433649" cy="2898476"/>
                  <wp:effectExtent l="0" t="0" r="14605" b="16510"/>
                  <wp:docPr id="12"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CBA79FB" w14:textId="708E8AA8" w:rsidR="00564103" w:rsidRPr="00347989" w:rsidRDefault="008E455A" w:rsidP="00564103">
            <w:pPr>
              <w:suppressAutoHyphens/>
              <w:spacing w:after="200" w:line="360" w:lineRule="auto"/>
              <w:ind w:right="45"/>
              <w:jc w:val="both"/>
              <w:outlineLvl w:val="0"/>
              <w:rPr>
                <w:rFonts w:ascii="Arial" w:eastAsia="Arial Unicode MS" w:hAnsi="Arial" w:cs="Arial"/>
                <w:kern w:val="1"/>
                <w:sz w:val="18"/>
                <w:szCs w:val="18"/>
                <w:lang w:val="es-ES_tradnl" w:eastAsia="ar-SA"/>
              </w:rPr>
            </w:pPr>
            <w:r w:rsidRPr="00347989">
              <w:rPr>
                <w:rFonts w:ascii="Arial" w:eastAsia="Arial Unicode MS" w:hAnsi="Arial" w:cs="Arial"/>
                <w:b/>
                <w:smallCaps/>
                <w:kern w:val="20"/>
                <w:sz w:val="18"/>
                <w:szCs w:val="18"/>
                <w:lang w:val="es-ES_tradnl" w:eastAsia="ar-SA"/>
              </w:rPr>
              <w:t>Figura 8</w:t>
            </w:r>
            <w:r w:rsidRPr="00347989">
              <w:rPr>
                <w:rFonts w:ascii="Arial" w:eastAsia="Arial Unicode MS" w:hAnsi="Arial" w:cs="Arial"/>
                <w:b/>
                <w:kern w:val="1"/>
                <w:sz w:val="18"/>
                <w:szCs w:val="18"/>
                <w:lang w:val="es-ES_tradnl" w:eastAsia="ar-SA"/>
              </w:rPr>
              <w:t>.</w:t>
            </w:r>
            <w:r w:rsidRPr="00347989">
              <w:rPr>
                <w:rFonts w:ascii="Arial" w:eastAsia="Arial Unicode MS" w:hAnsi="Arial" w:cs="Arial"/>
                <w:kern w:val="1"/>
                <w:sz w:val="18"/>
                <w:szCs w:val="18"/>
                <w:lang w:val="es-ES_tradnl" w:eastAsia="ar-SA"/>
              </w:rPr>
              <w:t xml:space="preserve"> Número máximo de machos detectados en el encharcamiento principal del arenal de </w:t>
            </w:r>
            <w:r w:rsidR="007D0DBB" w:rsidRPr="00347989">
              <w:rPr>
                <w:rFonts w:ascii="Arial" w:eastAsia="Arial Unicode MS" w:hAnsi="Arial" w:cs="Arial"/>
                <w:kern w:val="1"/>
                <w:sz w:val="18"/>
                <w:szCs w:val="18"/>
                <w:lang w:val="es-ES_tradnl" w:eastAsia="ar-SA"/>
              </w:rPr>
              <w:t xml:space="preserve">Gorrondatxe </w:t>
            </w:r>
            <w:r w:rsidRPr="00347989">
              <w:rPr>
                <w:rFonts w:ascii="Arial" w:eastAsia="Arial Unicode MS" w:hAnsi="Arial" w:cs="Arial"/>
                <w:kern w:val="1"/>
                <w:sz w:val="18"/>
                <w:szCs w:val="18"/>
                <w:lang w:val="es-ES_tradnl" w:eastAsia="ar-SA"/>
              </w:rPr>
              <w:t>en el periodo de reproducción.</w:t>
            </w:r>
          </w:p>
          <w:p w14:paraId="58E6541F" w14:textId="77777777" w:rsidR="00564103" w:rsidRDefault="008E455A" w:rsidP="00564103">
            <w:pPr>
              <w:suppressAutoHyphens/>
              <w:spacing w:after="200" w:line="360" w:lineRule="auto"/>
              <w:ind w:right="45"/>
              <w:jc w:val="both"/>
              <w:outlineLvl w:val="0"/>
              <w:rPr>
                <w:rFonts w:ascii="Arial" w:eastAsia="Arial Unicode MS" w:hAnsi="Arial" w:cs="Arial"/>
                <w:kern w:val="1"/>
                <w:lang w:val="es-ES_tradnl" w:eastAsia="ar-SA"/>
              </w:rPr>
            </w:pPr>
            <w:r>
              <w:rPr>
                <w:rFonts w:ascii="Arial" w:hAnsi="Arial" w:cs="Arial"/>
                <w:noProof/>
                <w:sz w:val="20"/>
                <w:szCs w:val="24"/>
                <w:lang w:eastAsia="es-ES"/>
              </w:rPr>
              <w:drawing>
                <wp:inline distT="0" distB="0" distL="0" distR="0" wp14:anchorId="5DD4F401" wp14:editId="4E6B991F">
                  <wp:extent cx="4139565" cy="2967486"/>
                  <wp:effectExtent l="0" t="0" r="0" b="4445"/>
                  <wp:docPr id="13" name="9 Imagen" descr="Ecalamit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alamita.tif"/>
                          <pic:cNvPicPr/>
                        </pic:nvPicPr>
                        <pic:blipFill rotWithShape="1">
                          <a:blip r:embed="rId20"/>
                          <a:srcRect t="14134" b="8635"/>
                          <a:stretch/>
                        </pic:blipFill>
                        <pic:spPr bwMode="auto">
                          <a:xfrm>
                            <a:off x="0" y="0"/>
                            <a:ext cx="4140000" cy="2967798"/>
                          </a:xfrm>
                          <a:prstGeom prst="rect">
                            <a:avLst/>
                          </a:prstGeom>
                          <a:ln>
                            <a:noFill/>
                          </a:ln>
                          <a:extLst>
                            <a:ext uri="{53640926-AAD7-44D8-BBD7-CCE9431645EC}">
                              <a14:shadowObscured xmlns:a14="http://schemas.microsoft.com/office/drawing/2010/main"/>
                            </a:ext>
                          </a:extLst>
                        </pic:spPr>
                      </pic:pic>
                    </a:graphicData>
                  </a:graphic>
                </wp:inline>
              </w:drawing>
            </w:r>
          </w:p>
          <w:p w14:paraId="1735FD1C" w14:textId="276A3A2E" w:rsidR="008E455A" w:rsidRPr="00347989" w:rsidRDefault="008E455A" w:rsidP="008E455A">
            <w:pPr>
              <w:suppressAutoHyphens/>
              <w:spacing w:after="200" w:line="360" w:lineRule="auto"/>
              <w:ind w:right="45"/>
              <w:jc w:val="both"/>
              <w:outlineLvl w:val="0"/>
              <w:rPr>
                <w:rFonts w:ascii="Arial" w:eastAsia="Arial Unicode MS" w:hAnsi="Arial" w:cs="Arial"/>
                <w:kern w:val="1"/>
                <w:sz w:val="18"/>
                <w:szCs w:val="18"/>
                <w:lang w:val="es-ES_tradnl" w:eastAsia="ar-SA"/>
              </w:rPr>
            </w:pPr>
            <w:r w:rsidRPr="00347989">
              <w:rPr>
                <w:rFonts w:ascii="Arial" w:eastAsia="Arial Unicode MS" w:hAnsi="Arial" w:cs="Arial"/>
                <w:b/>
                <w:smallCaps/>
                <w:kern w:val="20"/>
                <w:sz w:val="18"/>
                <w:szCs w:val="18"/>
                <w:lang w:val="es-ES_tradnl" w:eastAsia="ar-SA"/>
              </w:rPr>
              <w:t>Figura 9</w:t>
            </w:r>
            <w:r w:rsidRPr="00347989">
              <w:rPr>
                <w:rFonts w:ascii="Arial" w:eastAsia="Arial Unicode MS" w:hAnsi="Arial" w:cs="Arial"/>
                <w:b/>
                <w:kern w:val="1"/>
                <w:sz w:val="18"/>
                <w:szCs w:val="18"/>
                <w:lang w:val="es-ES_tradnl" w:eastAsia="ar-SA"/>
              </w:rPr>
              <w:t>.</w:t>
            </w:r>
            <w:r w:rsidRPr="00347989">
              <w:rPr>
                <w:rFonts w:ascii="Arial" w:eastAsia="Arial Unicode MS" w:hAnsi="Arial" w:cs="Arial"/>
                <w:kern w:val="1"/>
                <w:sz w:val="18"/>
                <w:szCs w:val="18"/>
                <w:lang w:val="es-ES_tradnl" w:eastAsia="ar-SA"/>
              </w:rPr>
              <w:t xml:space="preserve"> </w:t>
            </w:r>
            <w:r w:rsidRPr="00347989">
              <w:rPr>
                <w:rFonts w:ascii="Arial" w:hAnsi="Arial" w:cs="Arial"/>
                <w:sz w:val="18"/>
                <w:szCs w:val="18"/>
              </w:rPr>
              <w:t xml:space="preserve">Diagrama de barras obtenido de los transectos efectuados en el arenal de </w:t>
            </w:r>
            <w:r w:rsidR="007D0DBB" w:rsidRPr="00347989">
              <w:rPr>
                <w:rFonts w:ascii="Arial" w:hAnsi="Arial" w:cs="Arial"/>
                <w:sz w:val="18"/>
                <w:szCs w:val="18"/>
              </w:rPr>
              <w:t xml:space="preserve">Gorrondatxe </w:t>
            </w:r>
            <w:r w:rsidRPr="00347989">
              <w:rPr>
                <w:rFonts w:ascii="Arial" w:hAnsi="Arial" w:cs="Arial"/>
                <w:sz w:val="18"/>
                <w:szCs w:val="18"/>
              </w:rPr>
              <w:t>entre las campañas 2007 y 2017.</w:t>
            </w:r>
          </w:p>
          <w:p w14:paraId="0D3BD877" w14:textId="77777777" w:rsidR="00AE0FFE" w:rsidRDefault="00AE0FFE" w:rsidP="00564103">
            <w:pPr>
              <w:suppressAutoHyphens/>
              <w:spacing w:after="200" w:line="360" w:lineRule="auto"/>
              <w:ind w:right="45"/>
              <w:jc w:val="both"/>
              <w:outlineLvl w:val="0"/>
              <w:rPr>
                <w:rFonts w:ascii="Arial" w:eastAsia="Arial Unicode MS" w:hAnsi="Arial" w:cs="Arial"/>
                <w:kern w:val="1"/>
                <w:lang w:val="es-ES_tradnl" w:eastAsia="ar-SA"/>
              </w:rPr>
            </w:pPr>
          </w:p>
          <w:p w14:paraId="4BEC1709" w14:textId="18C1B493" w:rsidR="00564103" w:rsidRPr="008E455A" w:rsidRDefault="001F3C22" w:rsidP="001F3C22">
            <w:pPr>
              <w:suppressAutoHyphens/>
              <w:spacing w:after="200" w:line="360" w:lineRule="auto"/>
              <w:ind w:right="45"/>
              <w:jc w:val="both"/>
              <w:outlineLvl w:val="0"/>
              <w:rPr>
                <w:rFonts w:ascii="Arial" w:eastAsia="Arial Unicode MS" w:hAnsi="Arial" w:cs="Arial"/>
                <w:kern w:val="1"/>
                <w:sz w:val="20"/>
                <w:lang w:val="es-ES_tradnl" w:eastAsia="ar-SA"/>
              </w:rPr>
            </w:pPr>
            <w:r>
              <w:rPr>
                <w:rFonts w:ascii="Arial" w:eastAsia="Arial Unicode MS" w:hAnsi="Arial" w:cs="Arial"/>
                <w:kern w:val="1"/>
                <w:lang w:val="es-ES_tradnl" w:eastAsia="ar-SA"/>
              </w:rPr>
              <w:t>T</w:t>
            </w:r>
            <w:r w:rsidR="008E455A" w:rsidRPr="008E455A">
              <w:rPr>
                <w:rFonts w:ascii="Arial" w:eastAsia="Arial Unicode MS" w:hAnsi="Arial" w:cs="Arial"/>
                <w:kern w:val="1"/>
                <w:lang w:val="es-ES_tradnl" w:eastAsia="ar-SA"/>
              </w:rPr>
              <w:t>anto el número máximo de macho</w:t>
            </w:r>
            <w:r w:rsidR="00AE0FFE">
              <w:rPr>
                <w:rFonts w:ascii="Arial" w:eastAsia="Arial Unicode MS" w:hAnsi="Arial" w:cs="Arial"/>
                <w:kern w:val="1"/>
                <w:lang w:val="es-ES_tradnl" w:eastAsia="ar-SA"/>
              </w:rPr>
              <w:t>s</w:t>
            </w:r>
            <w:r w:rsidR="008E455A" w:rsidRPr="008E455A">
              <w:rPr>
                <w:rFonts w:ascii="Arial" w:eastAsia="Arial Unicode MS" w:hAnsi="Arial" w:cs="Arial"/>
                <w:kern w:val="1"/>
                <w:lang w:val="es-ES_tradnl" w:eastAsia="ar-SA"/>
              </w:rPr>
              <w:t xml:space="preserve"> reproductores en el principal encharcamiento de </w:t>
            </w:r>
            <w:r>
              <w:rPr>
                <w:rFonts w:ascii="Arial" w:eastAsia="Arial Unicode MS" w:hAnsi="Arial" w:cs="Arial"/>
                <w:kern w:val="1"/>
                <w:lang w:val="es-ES_tradnl" w:eastAsia="ar-SA"/>
              </w:rPr>
              <w:t>Gorrondatxe</w:t>
            </w:r>
            <w:r w:rsidR="00AE0FFE">
              <w:rPr>
                <w:rFonts w:ascii="Arial" w:eastAsia="Arial Unicode MS" w:hAnsi="Arial" w:cs="Arial"/>
                <w:kern w:val="1"/>
                <w:lang w:val="es-ES_tradnl" w:eastAsia="ar-SA"/>
              </w:rPr>
              <w:t>,</w:t>
            </w:r>
            <w:r w:rsidR="008E455A" w:rsidRPr="008E455A">
              <w:rPr>
                <w:rFonts w:ascii="Arial" w:eastAsia="Arial Unicode MS" w:hAnsi="Arial" w:cs="Arial"/>
                <w:kern w:val="1"/>
                <w:lang w:val="es-ES_tradnl" w:eastAsia="ar-SA"/>
              </w:rPr>
              <w:t xml:space="preserve"> como el promedio de eje</w:t>
            </w:r>
            <w:r w:rsidR="00AE0FFE">
              <w:rPr>
                <w:rFonts w:ascii="Arial" w:eastAsia="Arial Unicode MS" w:hAnsi="Arial" w:cs="Arial"/>
                <w:kern w:val="1"/>
                <w:lang w:val="es-ES_tradnl" w:eastAsia="ar-SA"/>
              </w:rPr>
              <w:t>mplares avistados en los transe</w:t>
            </w:r>
            <w:r w:rsidR="008E455A" w:rsidRPr="008E455A">
              <w:rPr>
                <w:rFonts w:ascii="Arial" w:eastAsia="Arial Unicode MS" w:hAnsi="Arial" w:cs="Arial"/>
                <w:kern w:val="1"/>
                <w:lang w:val="es-ES_tradnl" w:eastAsia="ar-SA"/>
              </w:rPr>
              <w:t>ctos del arenal</w:t>
            </w:r>
            <w:r w:rsidR="00AE0FFE">
              <w:rPr>
                <w:rFonts w:ascii="Arial" w:eastAsia="Arial Unicode MS" w:hAnsi="Arial" w:cs="Arial"/>
                <w:kern w:val="1"/>
                <w:lang w:val="es-ES_tradnl" w:eastAsia="ar-SA"/>
              </w:rPr>
              <w:t>,</w:t>
            </w:r>
            <w:r w:rsidR="008E455A" w:rsidRPr="008E455A">
              <w:rPr>
                <w:rFonts w:ascii="Arial" w:eastAsia="Arial Unicode MS" w:hAnsi="Arial" w:cs="Arial"/>
                <w:kern w:val="1"/>
                <w:lang w:val="es-ES_tradnl" w:eastAsia="ar-SA"/>
              </w:rPr>
              <w:t xml:space="preserve"> muestran una tendencia muy s</w:t>
            </w:r>
            <w:r w:rsidR="008E455A">
              <w:rPr>
                <w:rFonts w:ascii="Arial" w:eastAsia="Arial Unicode MS" w:hAnsi="Arial" w:cs="Arial"/>
                <w:kern w:val="1"/>
                <w:lang w:val="es-ES_tradnl" w:eastAsia="ar-SA"/>
              </w:rPr>
              <w:t xml:space="preserve">imilar a la descrita </w:t>
            </w:r>
            <w:r>
              <w:rPr>
                <w:rFonts w:ascii="Arial" w:eastAsia="Arial Unicode MS" w:hAnsi="Arial" w:cs="Arial"/>
                <w:kern w:val="1"/>
                <w:lang w:val="es-ES_tradnl" w:eastAsia="ar-SA"/>
              </w:rPr>
              <w:t xml:space="preserve">con </w:t>
            </w:r>
            <w:r w:rsidR="008E455A">
              <w:rPr>
                <w:rFonts w:ascii="Arial" w:eastAsia="Arial Unicode MS" w:hAnsi="Arial" w:cs="Arial"/>
                <w:kern w:val="1"/>
                <w:lang w:val="es-ES_tradnl" w:eastAsia="ar-SA"/>
              </w:rPr>
              <w:t>el conteo de puestas</w:t>
            </w:r>
            <w:r>
              <w:rPr>
                <w:rFonts w:ascii="Arial" w:eastAsia="Arial Unicode MS" w:hAnsi="Arial" w:cs="Arial"/>
                <w:kern w:val="1"/>
                <w:lang w:val="es-ES_tradnl" w:eastAsia="ar-SA"/>
              </w:rPr>
              <w:t>. En conjunto se observa</w:t>
            </w:r>
            <w:r w:rsidR="008E455A">
              <w:rPr>
                <w:rFonts w:ascii="Arial" w:eastAsia="Arial Unicode MS" w:hAnsi="Arial" w:cs="Arial"/>
                <w:kern w:val="1"/>
                <w:lang w:val="es-ES_tradnl" w:eastAsia="ar-SA"/>
              </w:rPr>
              <w:t xml:space="preserve"> un </w:t>
            </w:r>
            <w:r w:rsidR="008E455A" w:rsidRPr="008E455A">
              <w:rPr>
                <w:rFonts w:ascii="Arial" w:eastAsia="Arial Unicode MS" w:hAnsi="Arial" w:cs="Arial"/>
                <w:kern w:val="1"/>
                <w:lang w:val="es-ES_tradnl" w:eastAsia="ar-SA"/>
              </w:rPr>
              <w:t>claro declive con un leve repunte en los dos últimos años</w:t>
            </w:r>
            <w:r w:rsidR="008E455A">
              <w:rPr>
                <w:rFonts w:ascii="Arial" w:eastAsia="Arial Unicode MS" w:hAnsi="Arial" w:cs="Arial"/>
                <w:kern w:val="1"/>
                <w:lang w:val="es-ES_tradnl" w:eastAsia="ar-SA"/>
              </w:rPr>
              <w:t xml:space="preserve"> (</w:t>
            </w:r>
            <w:r w:rsidR="008E455A" w:rsidRPr="00B776B9">
              <w:rPr>
                <w:rFonts w:ascii="Arial" w:eastAsia="Arial Unicode MS" w:hAnsi="Arial" w:cs="Arial"/>
                <w:smallCaps/>
                <w:kern w:val="22"/>
                <w:lang w:val="es-ES_tradnl" w:eastAsia="ar-SA"/>
              </w:rPr>
              <w:t>figura</w:t>
            </w:r>
            <w:r w:rsidRPr="00B776B9">
              <w:rPr>
                <w:rFonts w:ascii="Arial" w:eastAsia="Arial Unicode MS" w:hAnsi="Arial" w:cs="Arial"/>
                <w:smallCaps/>
                <w:kern w:val="22"/>
                <w:lang w:val="es-ES_tradnl" w:eastAsia="ar-SA"/>
              </w:rPr>
              <w:t>s</w:t>
            </w:r>
            <w:r w:rsidR="008E455A" w:rsidRPr="00B776B9">
              <w:rPr>
                <w:rFonts w:ascii="Arial" w:eastAsia="Arial Unicode MS" w:hAnsi="Arial" w:cs="Arial"/>
                <w:smallCaps/>
                <w:kern w:val="22"/>
                <w:lang w:val="es-ES_tradnl" w:eastAsia="ar-SA"/>
              </w:rPr>
              <w:t xml:space="preserve"> 8 y 9</w:t>
            </w:r>
            <w:r w:rsidR="008E455A">
              <w:rPr>
                <w:rFonts w:ascii="Arial" w:eastAsia="Arial Unicode MS" w:hAnsi="Arial" w:cs="Arial"/>
                <w:kern w:val="1"/>
                <w:lang w:val="es-ES_tradnl" w:eastAsia="ar-SA"/>
              </w:rPr>
              <w:t>)</w:t>
            </w:r>
            <w:r w:rsidR="00AE0FFE">
              <w:rPr>
                <w:rFonts w:ascii="Arial" w:eastAsia="Arial Unicode MS" w:hAnsi="Arial" w:cs="Arial"/>
                <w:kern w:val="1"/>
                <w:lang w:val="es-ES_tradnl" w:eastAsia="ar-SA"/>
              </w:rPr>
              <w:t>.</w:t>
            </w:r>
          </w:p>
        </w:tc>
      </w:tr>
      <w:tr w:rsidR="004E0837" w:rsidRPr="004E0837" w14:paraId="7B292AB9" w14:textId="77777777" w:rsidTr="001A1482">
        <w:tc>
          <w:tcPr>
            <w:tcW w:w="1951" w:type="dxa"/>
            <w:shd w:val="clear" w:color="auto" w:fill="BFBFBF" w:themeFill="background1" w:themeFillShade="BF"/>
          </w:tcPr>
          <w:p w14:paraId="1CA8FF68" w14:textId="77777777" w:rsidR="00AE0FFE" w:rsidRDefault="00AE0FFE" w:rsidP="008C3364">
            <w:pPr>
              <w:spacing w:line="360" w:lineRule="auto"/>
              <w:jc w:val="center"/>
              <w:rPr>
                <w:rFonts w:ascii="Arial" w:hAnsi="Arial" w:cs="Arial"/>
                <w:b/>
              </w:rPr>
            </w:pPr>
          </w:p>
          <w:p w14:paraId="1A5B0390" w14:textId="77777777" w:rsidR="003E2C9F" w:rsidRPr="004E0837" w:rsidRDefault="009A6413" w:rsidP="008C3364">
            <w:pPr>
              <w:spacing w:line="360" w:lineRule="auto"/>
              <w:jc w:val="center"/>
              <w:rPr>
                <w:rFonts w:ascii="Arial" w:hAnsi="Arial" w:cs="Arial"/>
                <w:b/>
              </w:rPr>
            </w:pPr>
            <w:r w:rsidRPr="004E0837">
              <w:rPr>
                <w:rFonts w:ascii="Arial" w:hAnsi="Arial" w:cs="Arial"/>
                <w:b/>
              </w:rPr>
              <w:t>Descripción del hábitat</w:t>
            </w:r>
          </w:p>
        </w:tc>
        <w:tc>
          <w:tcPr>
            <w:tcW w:w="6769" w:type="dxa"/>
          </w:tcPr>
          <w:p w14:paraId="30A4696E" w14:textId="77777777" w:rsidR="00AE0FFE" w:rsidRDefault="00AE0FFE" w:rsidP="00E96356">
            <w:pPr>
              <w:spacing w:line="360" w:lineRule="auto"/>
              <w:jc w:val="both"/>
              <w:rPr>
                <w:rFonts w:ascii="Arial" w:eastAsia="Times New Roman" w:hAnsi="Arial" w:cs="Arial"/>
                <w:color w:val="000000" w:themeColor="text1"/>
                <w:lang w:eastAsia="es-ES"/>
              </w:rPr>
            </w:pPr>
          </w:p>
          <w:p w14:paraId="2E6D6AB1" w14:textId="1E1CDFF9" w:rsidR="00E96356" w:rsidRDefault="00E96356" w:rsidP="00E96356">
            <w:pPr>
              <w:spacing w:line="360" w:lineRule="auto"/>
              <w:jc w:val="both"/>
              <w:rPr>
                <w:rFonts w:ascii="Arial" w:eastAsia="Times New Roman" w:hAnsi="Arial" w:cs="Arial"/>
                <w:color w:val="000000" w:themeColor="text1"/>
                <w:lang w:eastAsia="es-ES"/>
              </w:rPr>
            </w:pPr>
            <w:r w:rsidRPr="00E96356">
              <w:rPr>
                <w:rFonts w:ascii="Arial" w:eastAsia="Times New Roman" w:hAnsi="Arial" w:cs="Arial"/>
                <w:color w:val="000000" w:themeColor="text1"/>
                <w:lang w:eastAsia="es-ES"/>
              </w:rPr>
              <w:t>Especie ubicua, que ocupa ambientes muy variados: terrenos áridos y arenales costeros, estepas y bosques aclarados o con cierta cobertura, campos de cultivo e incluso pastizales de alta montaña. En la Península está presente desde el nivel del mar hasta los 2</w:t>
            </w:r>
            <w:r w:rsidR="007C5CD6">
              <w:rPr>
                <w:rFonts w:ascii="Arial" w:eastAsia="Times New Roman" w:hAnsi="Arial" w:cs="Arial"/>
                <w:color w:val="000000" w:themeColor="text1"/>
                <w:lang w:eastAsia="es-ES"/>
              </w:rPr>
              <w:t>.</w:t>
            </w:r>
            <w:r w:rsidRPr="00E96356">
              <w:rPr>
                <w:rFonts w:ascii="Arial" w:eastAsia="Times New Roman" w:hAnsi="Arial" w:cs="Arial"/>
                <w:color w:val="000000" w:themeColor="text1"/>
                <w:lang w:eastAsia="es-ES"/>
              </w:rPr>
              <w:t xml:space="preserve">500 m en Sierra Nevada. En la Bahía de Txingudi ocupa terrenos de aportes detríticos y marinos, hoy en día ocupados por cultivos y prados, zonas de marisma y terrenos periurbanos que actualmente se encuentran en vías de urbanización. Además de los arenales, el sapo </w:t>
            </w:r>
            <w:r w:rsidR="001F3C22">
              <w:rPr>
                <w:rFonts w:ascii="Arial" w:eastAsia="Times New Roman" w:hAnsi="Arial" w:cs="Arial"/>
                <w:color w:val="000000" w:themeColor="text1"/>
                <w:lang w:eastAsia="es-ES"/>
              </w:rPr>
              <w:t>ocupa</w:t>
            </w:r>
            <w:r w:rsidR="001F3C22" w:rsidRPr="00E96356">
              <w:rPr>
                <w:rFonts w:ascii="Arial" w:eastAsia="Times New Roman" w:hAnsi="Arial" w:cs="Arial"/>
                <w:color w:val="000000" w:themeColor="text1"/>
                <w:lang w:eastAsia="es-ES"/>
              </w:rPr>
              <w:t xml:space="preserve"> </w:t>
            </w:r>
            <w:r w:rsidRPr="00E96356">
              <w:rPr>
                <w:rFonts w:ascii="Arial" w:eastAsia="Times New Roman" w:hAnsi="Arial" w:cs="Arial"/>
                <w:color w:val="000000" w:themeColor="text1"/>
                <w:lang w:eastAsia="es-ES"/>
              </w:rPr>
              <w:t>en</w:t>
            </w:r>
            <w:r w:rsidR="001F3C22">
              <w:rPr>
                <w:rFonts w:ascii="Arial" w:eastAsia="Times New Roman" w:hAnsi="Arial" w:cs="Arial"/>
                <w:color w:val="000000" w:themeColor="text1"/>
                <w:lang w:eastAsia="es-ES"/>
              </w:rPr>
              <w:t xml:space="preserve"> el entorno de</w:t>
            </w:r>
            <w:r w:rsidRPr="00E96356">
              <w:rPr>
                <w:rFonts w:ascii="Arial" w:eastAsia="Times New Roman" w:hAnsi="Arial" w:cs="Arial"/>
                <w:color w:val="000000" w:themeColor="text1"/>
                <w:lang w:eastAsia="es-ES"/>
              </w:rPr>
              <w:t xml:space="preserve"> </w:t>
            </w:r>
            <w:r w:rsidR="00A67983">
              <w:rPr>
                <w:rFonts w:ascii="Arial" w:eastAsia="Times New Roman" w:hAnsi="Arial" w:cs="Arial"/>
                <w:color w:val="000000" w:themeColor="text1"/>
                <w:lang w:eastAsia="es-ES"/>
              </w:rPr>
              <w:t>La Galea-</w:t>
            </w:r>
            <w:r w:rsidRPr="00E96356">
              <w:rPr>
                <w:rFonts w:ascii="Arial" w:eastAsia="Times New Roman" w:hAnsi="Arial" w:cs="Arial"/>
                <w:color w:val="000000" w:themeColor="text1"/>
                <w:lang w:eastAsia="es-ES"/>
              </w:rPr>
              <w:t>Azkorri</w:t>
            </w:r>
            <w:r w:rsidR="00A67983">
              <w:rPr>
                <w:rFonts w:ascii="Arial" w:eastAsia="Times New Roman" w:hAnsi="Arial" w:cs="Arial"/>
                <w:color w:val="000000" w:themeColor="text1"/>
                <w:lang w:eastAsia="es-ES"/>
              </w:rPr>
              <w:t xml:space="preserve"> (zona exterior al arenal de Gorrondatxe)</w:t>
            </w:r>
            <w:r w:rsidRPr="00E96356">
              <w:rPr>
                <w:rFonts w:ascii="Arial" w:eastAsia="Times New Roman" w:hAnsi="Arial" w:cs="Arial"/>
                <w:color w:val="000000" w:themeColor="text1"/>
                <w:lang w:eastAsia="es-ES"/>
              </w:rPr>
              <w:t xml:space="preserve"> </w:t>
            </w:r>
            <w:r w:rsidR="001F3C22">
              <w:rPr>
                <w:rFonts w:ascii="Arial" w:eastAsia="Times New Roman" w:hAnsi="Arial" w:cs="Arial"/>
                <w:color w:val="000000" w:themeColor="text1"/>
                <w:lang w:eastAsia="es-ES"/>
              </w:rPr>
              <w:t xml:space="preserve">las zonas de </w:t>
            </w:r>
            <w:r w:rsidRPr="00E96356">
              <w:rPr>
                <w:rFonts w:ascii="Arial" w:eastAsia="Times New Roman" w:hAnsi="Arial" w:cs="Arial"/>
                <w:color w:val="000000" w:themeColor="text1"/>
                <w:lang w:eastAsia="es-ES"/>
              </w:rPr>
              <w:t xml:space="preserve">argomales, brezales, lastonares y prados. </w:t>
            </w:r>
          </w:p>
          <w:p w14:paraId="20436257" w14:textId="77777777" w:rsidR="003E2C9F" w:rsidRDefault="00E96356" w:rsidP="00E96356">
            <w:pPr>
              <w:spacing w:line="360" w:lineRule="auto"/>
              <w:jc w:val="both"/>
              <w:rPr>
                <w:rFonts w:ascii="Arial" w:eastAsia="Times New Roman" w:hAnsi="Arial" w:cs="Arial"/>
                <w:color w:val="000000" w:themeColor="text1"/>
                <w:lang w:eastAsia="es-ES"/>
              </w:rPr>
            </w:pPr>
            <w:r w:rsidRPr="00E96356">
              <w:rPr>
                <w:rFonts w:ascii="Arial" w:eastAsia="Times New Roman" w:hAnsi="Arial" w:cs="Arial"/>
                <w:color w:val="000000" w:themeColor="text1"/>
                <w:lang w:eastAsia="es-ES"/>
              </w:rPr>
              <w:t xml:space="preserve">El sapo corredor evita, para reproducirse, los humedales donde pueda coincidir con depredadores y competidores, seleccionando pequeños charcos efímeros soleados y de escasa profundidad, charcas temporales, prados inundados, canteras abandonadas, cunetas e incluso rodadas de vehículos en terrenos embarrados. </w:t>
            </w:r>
          </w:p>
          <w:p w14:paraId="54206E02" w14:textId="77777777" w:rsidR="00AE0FFE" w:rsidRPr="00E96356" w:rsidRDefault="00AE0FFE" w:rsidP="00E96356">
            <w:pPr>
              <w:spacing w:line="360" w:lineRule="auto"/>
              <w:jc w:val="both"/>
              <w:rPr>
                <w:rFonts w:ascii="Arial" w:eastAsia="Times New Roman" w:hAnsi="Arial" w:cs="Arial"/>
                <w:color w:val="000000" w:themeColor="text1"/>
                <w:lang w:eastAsia="es-ES"/>
              </w:rPr>
            </w:pPr>
          </w:p>
        </w:tc>
      </w:tr>
      <w:tr w:rsidR="004E0837" w:rsidRPr="004E0837" w14:paraId="388BA5B8" w14:textId="77777777" w:rsidTr="001A1482">
        <w:tc>
          <w:tcPr>
            <w:tcW w:w="1951" w:type="dxa"/>
            <w:shd w:val="clear" w:color="auto" w:fill="BFBFBF" w:themeFill="background1" w:themeFillShade="BF"/>
          </w:tcPr>
          <w:p w14:paraId="7558FFE7" w14:textId="77777777" w:rsidR="00AE0FFE" w:rsidRDefault="00AE0FFE" w:rsidP="008C3364">
            <w:pPr>
              <w:spacing w:line="360" w:lineRule="auto"/>
              <w:jc w:val="center"/>
              <w:rPr>
                <w:rFonts w:ascii="Arial" w:hAnsi="Arial" w:cs="Arial"/>
                <w:b/>
              </w:rPr>
            </w:pPr>
          </w:p>
          <w:p w14:paraId="725E3521" w14:textId="77777777" w:rsidR="003E2C9F" w:rsidRDefault="009A6413" w:rsidP="008C3364">
            <w:pPr>
              <w:spacing w:line="360" w:lineRule="auto"/>
              <w:jc w:val="center"/>
              <w:rPr>
                <w:rFonts w:ascii="Arial" w:hAnsi="Arial" w:cs="Arial"/>
                <w:b/>
              </w:rPr>
            </w:pPr>
            <w:r w:rsidRPr="004E0837">
              <w:rPr>
                <w:rFonts w:ascii="Arial" w:hAnsi="Arial" w:cs="Arial"/>
                <w:b/>
              </w:rPr>
              <w:t>Biología y ecología de la especie</w:t>
            </w:r>
          </w:p>
          <w:p w14:paraId="232928B4" w14:textId="77777777" w:rsidR="00AE0FFE" w:rsidRPr="004E0837" w:rsidRDefault="00AE0FFE" w:rsidP="008C3364">
            <w:pPr>
              <w:spacing w:line="360" w:lineRule="auto"/>
              <w:jc w:val="center"/>
              <w:rPr>
                <w:rFonts w:ascii="Arial" w:hAnsi="Arial" w:cs="Arial"/>
                <w:b/>
              </w:rPr>
            </w:pPr>
          </w:p>
        </w:tc>
        <w:tc>
          <w:tcPr>
            <w:tcW w:w="6769" w:type="dxa"/>
          </w:tcPr>
          <w:p w14:paraId="7D0B42A6" w14:textId="77777777" w:rsidR="00AE0FFE" w:rsidRDefault="00AE0FFE" w:rsidP="00821637">
            <w:pPr>
              <w:spacing w:line="360" w:lineRule="auto"/>
              <w:jc w:val="both"/>
              <w:rPr>
                <w:rFonts w:ascii="Arial" w:hAnsi="Arial" w:cs="Arial"/>
              </w:rPr>
            </w:pPr>
          </w:p>
          <w:p w14:paraId="3408E286" w14:textId="77777777" w:rsidR="003E2C9F" w:rsidRDefault="00AE0FFE" w:rsidP="00821637">
            <w:pPr>
              <w:spacing w:line="360" w:lineRule="auto"/>
              <w:jc w:val="both"/>
              <w:rPr>
                <w:rFonts w:ascii="Arial" w:hAnsi="Arial" w:cs="Arial"/>
              </w:rPr>
            </w:pPr>
            <w:r w:rsidRPr="00AE0FFE">
              <w:rPr>
                <w:rFonts w:ascii="Arial" w:hAnsi="Arial" w:cs="Arial"/>
              </w:rPr>
              <w:t>Las áreas de campeo de los adultos varían enormemente (entre 50 y 1.000 m</w:t>
            </w:r>
            <w:r w:rsidRPr="00B776B9">
              <w:rPr>
                <w:rFonts w:ascii="Arial" w:hAnsi="Arial" w:cs="Arial"/>
                <w:vertAlign w:val="superscript"/>
              </w:rPr>
              <w:t>2</w:t>
            </w:r>
            <w:r w:rsidRPr="00AE0FFE">
              <w:rPr>
                <w:rFonts w:ascii="Arial" w:hAnsi="Arial" w:cs="Arial"/>
              </w:rPr>
              <w:t>) y no difieren entre sexos (</w:t>
            </w:r>
            <w:r w:rsidRPr="00B776B9">
              <w:rPr>
                <w:rFonts w:ascii="Arial" w:hAnsi="Arial" w:cs="Arial"/>
                <w:smallCaps/>
              </w:rPr>
              <w:t>Denton y Beebee</w:t>
            </w:r>
            <w:r w:rsidRPr="00AE0FFE">
              <w:rPr>
                <w:rFonts w:ascii="Arial" w:hAnsi="Arial" w:cs="Arial"/>
              </w:rPr>
              <w:t>, 1993).</w:t>
            </w:r>
          </w:p>
          <w:p w14:paraId="11C1185B" w14:textId="77777777" w:rsidR="00AE0FFE" w:rsidRDefault="00AE0FFE" w:rsidP="00821637">
            <w:pPr>
              <w:spacing w:line="360" w:lineRule="auto"/>
              <w:jc w:val="both"/>
              <w:rPr>
                <w:rFonts w:ascii="Arial" w:hAnsi="Arial" w:cs="Arial"/>
              </w:rPr>
            </w:pPr>
            <w:r w:rsidRPr="00AE0FFE">
              <w:rPr>
                <w:rFonts w:ascii="Arial" w:hAnsi="Arial" w:cs="Arial"/>
              </w:rPr>
              <w:t>La filopatría de esta especie depende de la estructura del hábitat, el número de charcas disponibles y la distancia entre ellas. Pueden mostrar alta filopatría y reducida dispersión reproductiva (</w:t>
            </w:r>
            <w:r w:rsidRPr="00B776B9">
              <w:rPr>
                <w:rFonts w:ascii="Arial" w:hAnsi="Arial" w:cs="Arial"/>
                <w:smallCaps/>
              </w:rPr>
              <w:t>Sinsch</w:t>
            </w:r>
            <w:r w:rsidRPr="00AE0FFE">
              <w:rPr>
                <w:rFonts w:ascii="Arial" w:hAnsi="Arial" w:cs="Arial"/>
              </w:rPr>
              <w:t xml:space="preserve">, 1988; </w:t>
            </w:r>
            <w:r w:rsidRPr="00B776B9">
              <w:rPr>
                <w:rFonts w:ascii="Arial" w:hAnsi="Arial" w:cs="Arial"/>
                <w:smallCaps/>
              </w:rPr>
              <w:t>Huste</w:t>
            </w:r>
            <w:r w:rsidRPr="00AE0FFE">
              <w:rPr>
                <w:rFonts w:ascii="Arial" w:hAnsi="Arial" w:cs="Arial"/>
              </w:rPr>
              <w:t xml:space="preserve"> </w:t>
            </w:r>
            <w:r w:rsidRPr="00B776B9">
              <w:rPr>
                <w:rFonts w:ascii="Arial" w:hAnsi="Arial" w:cs="Arial"/>
                <w:i/>
              </w:rPr>
              <w:t>et al</w:t>
            </w:r>
            <w:r w:rsidRPr="00AE0FFE">
              <w:rPr>
                <w:rFonts w:ascii="Arial" w:hAnsi="Arial" w:cs="Arial"/>
              </w:rPr>
              <w:t>., 2006), pero también se han detectado recorridos de hasta 500 m entre lugares de cría (</w:t>
            </w:r>
            <w:r w:rsidRPr="00B776B9">
              <w:rPr>
                <w:rFonts w:ascii="Arial" w:hAnsi="Arial" w:cs="Arial"/>
                <w:smallCaps/>
              </w:rPr>
              <w:t>Miaud</w:t>
            </w:r>
            <w:r w:rsidRPr="00AE0FFE">
              <w:rPr>
                <w:rFonts w:ascii="Arial" w:hAnsi="Arial" w:cs="Arial"/>
              </w:rPr>
              <w:t xml:space="preserve"> </w:t>
            </w:r>
            <w:r w:rsidRPr="00B776B9">
              <w:rPr>
                <w:rFonts w:ascii="Arial" w:hAnsi="Arial" w:cs="Arial"/>
                <w:i/>
              </w:rPr>
              <w:t>et al</w:t>
            </w:r>
            <w:r w:rsidRPr="00AE0FFE">
              <w:rPr>
                <w:rFonts w:ascii="Arial" w:hAnsi="Arial" w:cs="Arial"/>
              </w:rPr>
              <w:t>. 2000). Los machos muestran una filopatría más acentuada que las hembras (</w:t>
            </w:r>
            <w:r w:rsidRPr="00B776B9">
              <w:rPr>
                <w:rFonts w:ascii="Arial" w:hAnsi="Arial" w:cs="Arial"/>
                <w:smallCaps/>
              </w:rPr>
              <w:t>Sinsch</w:t>
            </w:r>
            <w:r w:rsidRPr="00AE0FFE">
              <w:rPr>
                <w:rFonts w:ascii="Arial" w:hAnsi="Arial" w:cs="Arial"/>
              </w:rPr>
              <w:t xml:space="preserve">, 1992; </w:t>
            </w:r>
            <w:r w:rsidRPr="00B776B9">
              <w:rPr>
                <w:rFonts w:ascii="Arial" w:hAnsi="Arial" w:cs="Arial"/>
                <w:smallCaps/>
              </w:rPr>
              <w:t xml:space="preserve">Sinsch </w:t>
            </w:r>
            <w:r w:rsidR="007C5CD6">
              <w:rPr>
                <w:rFonts w:ascii="Arial" w:hAnsi="Arial" w:cs="Arial"/>
                <w:smallCaps/>
              </w:rPr>
              <w:t>&amp;</w:t>
            </w:r>
            <w:r w:rsidR="007C5CD6" w:rsidRPr="00B776B9">
              <w:rPr>
                <w:rFonts w:ascii="Arial" w:hAnsi="Arial" w:cs="Arial"/>
                <w:smallCaps/>
              </w:rPr>
              <w:t xml:space="preserve"> </w:t>
            </w:r>
            <w:r w:rsidRPr="00B776B9">
              <w:rPr>
                <w:rFonts w:ascii="Arial" w:hAnsi="Arial" w:cs="Arial"/>
                <w:smallCaps/>
              </w:rPr>
              <w:t>Seidel</w:t>
            </w:r>
            <w:r w:rsidRPr="00AE0FFE">
              <w:rPr>
                <w:rFonts w:ascii="Arial" w:hAnsi="Arial" w:cs="Arial"/>
              </w:rPr>
              <w:t>, 1995). Las distancias recorridas aumentan fuera de la época de cría, llegando a alcanzar los 4.411 m</w:t>
            </w:r>
            <w:r w:rsidR="001F3C22">
              <w:rPr>
                <w:rFonts w:ascii="Arial" w:hAnsi="Arial" w:cs="Arial"/>
              </w:rPr>
              <w:t>,</w:t>
            </w:r>
            <w:r w:rsidRPr="00AE0FFE">
              <w:rPr>
                <w:rFonts w:ascii="Arial" w:hAnsi="Arial" w:cs="Arial"/>
              </w:rPr>
              <w:t xml:space="preserve"> si bien la inmensa mayoría de las veces los sapos se localizan en un radio de 700 m de la charca de cría (</w:t>
            </w:r>
            <w:r w:rsidRPr="00B776B9">
              <w:rPr>
                <w:rFonts w:ascii="Arial" w:hAnsi="Arial" w:cs="Arial"/>
                <w:smallCaps/>
              </w:rPr>
              <w:t>Miaud</w:t>
            </w:r>
            <w:r w:rsidRPr="00AE0FFE">
              <w:rPr>
                <w:rFonts w:ascii="Arial" w:hAnsi="Arial" w:cs="Arial"/>
              </w:rPr>
              <w:t xml:space="preserve"> </w:t>
            </w:r>
            <w:r w:rsidRPr="00B776B9">
              <w:rPr>
                <w:rFonts w:ascii="Arial" w:hAnsi="Arial" w:cs="Arial"/>
                <w:i/>
              </w:rPr>
              <w:t>et al</w:t>
            </w:r>
            <w:r w:rsidRPr="00AE0FFE">
              <w:rPr>
                <w:rFonts w:ascii="Arial" w:hAnsi="Arial" w:cs="Arial"/>
              </w:rPr>
              <w:t xml:space="preserve">., 2000). Estas migraciones a más largas distancias fuera de la época de cría confieren a la especie una cualidad de especie pionera que coloniza </w:t>
            </w:r>
            <w:r w:rsidR="001F3C22" w:rsidRPr="00AE0FFE">
              <w:rPr>
                <w:rFonts w:ascii="Arial" w:hAnsi="Arial" w:cs="Arial"/>
              </w:rPr>
              <w:t xml:space="preserve">rápidamente </w:t>
            </w:r>
            <w:r w:rsidRPr="00AE0FFE">
              <w:rPr>
                <w:rFonts w:ascii="Arial" w:hAnsi="Arial" w:cs="Arial"/>
              </w:rPr>
              <w:t>hábitats en etapas tempranas de sucesión ecológica (</w:t>
            </w:r>
            <w:r w:rsidRPr="00B776B9">
              <w:rPr>
                <w:rFonts w:ascii="Arial" w:hAnsi="Arial" w:cs="Arial"/>
                <w:smallCaps/>
              </w:rPr>
              <w:t xml:space="preserve">Boomsma </w:t>
            </w:r>
            <w:r w:rsidR="007C5CD6">
              <w:rPr>
                <w:rFonts w:ascii="Arial" w:hAnsi="Arial" w:cs="Arial"/>
                <w:smallCaps/>
              </w:rPr>
              <w:t>&amp;</w:t>
            </w:r>
            <w:r w:rsidR="007C5CD6" w:rsidRPr="00B776B9">
              <w:rPr>
                <w:rFonts w:ascii="Arial" w:hAnsi="Arial" w:cs="Arial"/>
                <w:smallCaps/>
              </w:rPr>
              <w:t xml:space="preserve"> </w:t>
            </w:r>
            <w:r w:rsidRPr="00B776B9">
              <w:rPr>
                <w:rFonts w:ascii="Arial" w:hAnsi="Arial" w:cs="Arial"/>
                <w:smallCaps/>
              </w:rPr>
              <w:t>Arntzen</w:t>
            </w:r>
            <w:r w:rsidRPr="00AE0FFE">
              <w:rPr>
                <w:rFonts w:ascii="Arial" w:hAnsi="Arial" w:cs="Arial"/>
              </w:rPr>
              <w:t>, 1985). No obstante la dispersión durante la fase juvenil es más importante que la de la fase adulta, y los juveniles tienden a escoger hábitats abiertos y a evitar en cambio áreas de cultivo (</w:t>
            </w:r>
            <w:r w:rsidRPr="00B776B9">
              <w:rPr>
                <w:rFonts w:ascii="Arial" w:hAnsi="Arial" w:cs="Arial"/>
                <w:smallCaps/>
              </w:rPr>
              <w:t>Stevens</w:t>
            </w:r>
            <w:r w:rsidRPr="00AE0FFE">
              <w:rPr>
                <w:rFonts w:ascii="Arial" w:hAnsi="Arial" w:cs="Arial"/>
              </w:rPr>
              <w:t xml:space="preserve"> </w:t>
            </w:r>
            <w:r w:rsidRPr="00B776B9">
              <w:rPr>
                <w:rFonts w:ascii="Arial" w:hAnsi="Arial" w:cs="Arial"/>
                <w:i/>
              </w:rPr>
              <w:t>et al</w:t>
            </w:r>
            <w:r w:rsidRPr="00AE0FFE">
              <w:rPr>
                <w:rFonts w:ascii="Arial" w:hAnsi="Arial" w:cs="Arial"/>
              </w:rPr>
              <w:t xml:space="preserve">., 2004; </w:t>
            </w:r>
            <w:r w:rsidRPr="00B776B9">
              <w:rPr>
                <w:rFonts w:ascii="Arial" w:hAnsi="Arial" w:cs="Arial"/>
                <w:smallCaps/>
              </w:rPr>
              <w:t>Stevens</w:t>
            </w:r>
            <w:r w:rsidRPr="00AE0FFE">
              <w:rPr>
                <w:rFonts w:ascii="Arial" w:hAnsi="Arial" w:cs="Arial"/>
              </w:rPr>
              <w:t xml:space="preserve"> </w:t>
            </w:r>
            <w:r w:rsidRPr="00B776B9">
              <w:rPr>
                <w:rFonts w:ascii="Arial" w:hAnsi="Arial" w:cs="Arial"/>
                <w:i/>
              </w:rPr>
              <w:t>et al</w:t>
            </w:r>
            <w:r w:rsidRPr="00AE0FFE">
              <w:rPr>
                <w:rFonts w:ascii="Arial" w:hAnsi="Arial" w:cs="Arial"/>
              </w:rPr>
              <w:t xml:space="preserve">., 2006). Esta preferencia apunta por tanto a que la estructura del paisaje en el terreno entre parches de hábitat propicios (matriz) puede ser determinante en la conectividad y viabilidad de las metapoblaciones de </w:t>
            </w:r>
            <w:r w:rsidRPr="00AE0FFE">
              <w:rPr>
                <w:rFonts w:ascii="Arial" w:hAnsi="Arial" w:cs="Arial"/>
                <w:i/>
              </w:rPr>
              <w:t>E. calamita</w:t>
            </w:r>
            <w:r w:rsidRPr="00AE0FFE">
              <w:rPr>
                <w:rFonts w:ascii="Arial" w:hAnsi="Arial" w:cs="Arial"/>
              </w:rPr>
              <w:t>.</w:t>
            </w:r>
          </w:p>
          <w:p w14:paraId="33A7699E" w14:textId="7577D8B2" w:rsidR="00E638A9" w:rsidRPr="004E0837" w:rsidRDefault="00E638A9" w:rsidP="00821637">
            <w:pPr>
              <w:spacing w:line="360" w:lineRule="auto"/>
              <w:jc w:val="both"/>
              <w:rPr>
                <w:rFonts w:ascii="Arial" w:hAnsi="Arial" w:cs="Arial"/>
              </w:rPr>
            </w:pPr>
          </w:p>
        </w:tc>
      </w:tr>
      <w:tr w:rsidR="004E0837" w:rsidRPr="004E0837" w14:paraId="125507AE" w14:textId="77777777" w:rsidTr="001A1482">
        <w:tc>
          <w:tcPr>
            <w:tcW w:w="1951" w:type="dxa"/>
            <w:shd w:val="clear" w:color="auto" w:fill="BFBFBF" w:themeFill="background1" w:themeFillShade="BF"/>
          </w:tcPr>
          <w:p w14:paraId="60615D15" w14:textId="77777777" w:rsidR="00054315" w:rsidRDefault="00054315" w:rsidP="008C3364">
            <w:pPr>
              <w:spacing w:line="360" w:lineRule="auto"/>
              <w:jc w:val="center"/>
              <w:rPr>
                <w:rFonts w:ascii="Arial" w:hAnsi="Arial" w:cs="Arial"/>
                <w:b/>
              </w:rPr>
            </w:pPr>
          </w:p>
          <w:p w14:paraId="123CD549" w14:textId="77777777" w:rsidR="003E2C9F" w:rsidRPr="004E0837" w:rsidRDefault="009A6413" w:rsidP="008C3364">
            <w:pPr>
              <w:spacing w:line="360" w:lineRule="auto"/>
              <w:jc w:val="center"/>
              <w:rPr>
                <w:rFonts w:ascii="Arial" w:hAnsi="Arial" w:cs="Arial"/>
                <w:b/>
              </w:rPr>
            </w:pPr>
            <w:r w:rsidRPr="004E0837">
              <w:rPr>
                <w:rFonts w:ascii="Arial" w:hAnsi="Arial" w:cs="Arial"/>
                <w:b/>
              </w:rPr>
              <w:t>Factores de amenaza</w:t>
            </w:r>
          </w:p>
        </w:tc>
        <w:tc>
          <w:tcPr>
            <w:tcW w:w="6769" w:type="dxa"/>
          </w:tcPr>
          <w:p w14:paraId="42CEFF27" w14:textId="77777777" w:rsidR="00054315" w:rsidRDefault="00054315" w:rsidP="00E96356">
            <w:pPr>
              <w:spacing w:line="360" w:lineRule="auto"/>
              <w:jc w:val="both"/>
              <w:rPr>
                <w:rFonts w:ascii="Arial" w:eastAsia="Times New Roman" w:hAnsi="Arial" w:cs="Arial"/>
                <w:color w:val="000000" w:themeColor="text1"/>
                <w:lang w:eastAsia="es-ES"/>
              </w:rPr>
            </w:pPr>
          </w:p>
          <w:p w14:paraId="1A1F4666" w14:textId="3F8890CC" w:rsidR="00E96356" w:rsidRDefault="00E96356" w:rsidP="00E96356">
            <w:pPr>
              <w:spacing w:line="360" w:lineRule="auto"/>
              <w:jc w:val="both"/>
              <w:rPr>
                <w:rFonts w:ascii="Arial" w:eastAsia="Times New Roman" w:hAnsi="Arial" w:cs="Arial"/>
                <w:color w:val="000000" w:themeColor="text1"/>
                <w:lang w:eastAsia="es-ES"/>
              </w:rPr>
            </w:pPr>
            <w:r w:rsidRPr="00E96356">
              <w:rPr>
                <w:rFonts w:ascii="Arial" w:eastAsia="Times New Roman" w:hAnsi="Arial" w:cs="Arial"/>
                <w:color w:val="000000" w:themeColor="text1"/>
                <w:lang w:eastAsia="es-ES"/>
              </w:rPr>
              <w:t xml:space="preserve">La población de Txingudi se encuentra fuertemente fragmentada, y algunos de sus núcleos pueden desaparecer próximamente, como ya ha sucedido con algunos </w:t>
            </w:r>
            <w:r>
              <w:rPr>
                <w:rFonts w:ascii="Arial" w:eastAsia="Times New Roman" w:hAnsi="Arial" w:cs="Arial"/>
                <w:color w:val="000000" w:themeColor="text1"/>
                <w:lang w:eastAsia="es-ES"/>
              </w:rPr>
              <w:t>(</w:t>
            </w:r>
            <w:r w:rsidRPr="00B776B9">
              <w:rPr>
                <w:rFonts w:ascii="Arial" w:eastAsia="Times New Roman" w:hAnsi="Arial" w:cs="Arial"/>
                <w:smallCaps/>
                <w:color w:val="000000" w:themeColor="text1"/>
                <w:lang w:eastAsia="es-ES"/>
              </w:rPr>
              <w:t>San Sebastián</w:t>
            </w:r>
            <w:r>
              <w:rPr>
                <w:rFonts w:ascii="Arial" w:eastAsia="Times New Roman" w:hAnsi="Arial" w:cs="Arial"/>
                <w:color w:val="000000" w:themeColor="text1"/>
                <w:lang w:eastAsia="es-ES"/>
              </w:rPr>
              <w:t xml:space="preserve"> </w:t>
            </w:r>
            <w:r w:rsidRPr="00E96356">
              <w:rPr>
                <w:rFonts w:ascii="Arial" w:eastAsia="Times New Roman" w:hAnsi="Arial" w:cs="Arial"/>
                <w:i/>
                <w:color w:val="000000" w:themeColor="text1"/>
                <w:lang w:eastAsia="es-ES"/>
              </w:rPr>
              <w:t>et al</w:t>
            </w:r>
            <w:r>
              <w:rPr>
                <w:rFonts w:ascii="Arial" w:eastAsia="Times New Roman" w:hAnsi="Arial" w:cs="Arial"/>
                <w:color w:val="000000" w:themeColor="text1"/>
                <w:lang w:eastAsia="es-ES"/>
              </w:rPr>
              <w:t xml:space="preserve">., 2005; </w:t>
            </w:r>
            <w:r w:rsidRPr="00B776B9">
              <w:rPr>
                <w:rFonts w:ascii="Arial" w:eastAsia="Times New Roman" w:hAnsi="Arial" w:cs="Arial"/>
                <w:smallCaps/>
                <w:color w:val="000000" w:themeColor="text1"/>
                <w:lang w:eastAsia="es-ES"/>
              </w:rPr>
              <w:t>Garin-Barrio</w:t>
            </w:r>
            <w:r>
              <w:rPr>
                <w:rFonts w:ascii="Arial" w:eastAsia="Times New Roman" w:hAnsi="Arial" w:cs="Arial"/>
                <w:color w:val="000000" w:themeColor="text1"/>
                <w:lang w:eastAsia="es-ES"/>
              </w:rPr>
              <w:t xml:space="preserve"> </w:t>
            </w:r>
            <w:r w:rsidRPr="00E96356">
              <w:rPr>
                <w:rFonts w:ascii="Arial" w:eastAsia="Times New Roman" w:hAnsi="Arial" w:cs="Arial"/>
                <w:i/>
                <w:color w:val="000000" w:themeColor="text1"/>
                <w:lang w:eastAsia="es-ES"/>
              </w:rPr>
              <w:t>et al</w:t>
            </w:r>
            <w:r>
              <w:rPr>
                <w:rFonts w:ascii="Arial" w:eastAsia="Times New Roman" w:hAnsi="Arial" w:cs="Arial"/>
                <w:color w:val="000000" w:themeColor="text1"/>
                <w:lang w:eastAsia="es-ES"/>
              </w:rPr>
              <w:t xml:space="preserve">., 2007; </w:t>
            </w:r>
            <w:r w:rsidRPr="00B776B9">
              <w:rPr>
                <w:rFonts w:ascii="Arial" w:eastAsia="Times New Roman" w:hAnsi="Arial" w:cs="Arial"/>
                <w:smallCaps/>
                <w:color w:val="000000" w:themeColor="text1"/>
                <w:lang w:eastAsia="es-ES"/>
              </w:rPr>
              <w:t>Garin-Barrio</w:t>
            </w:r>
            <w:r>
              <w:rPr>
                <w:rFonts w:ascii="Arial" w:eastAsia="Times New Roman" w:hAnsi="Arial" w:cs="Arial"/>
                <w:color w:val="000000" w:themeColor="text1"/>
                <w:lang w:eastAsia="es-ES"/>
              </w:rPr>
              <w:t xml:space="preserve"> </w:t>
            </w:r>
            <w:r w:rsidRPr="00E96356">
              <w:rPr>
                <w:rFonts w:ascii="Arial" w:eastAsia="Times New Roman" w:hAnsi="Arial" w:cs="Arial"/>
                <w:i/>
                <w:color w:val="000000" w:themeColor="text1"/>
                <w:lang w:eastAsia="es-ES"/>
              </w:rPr>
              <w:t>et al</w:t>
            </w:r>
            <w:r>
              <w:rPr>
                <w:rFonts w:ascii="Arial" w:eastAsia="Times New Roman" w:hAnsi="Arial" w:cs="Arial"/>
                <w:color w:val="000000" w:themeColor="text1"/>
                <w:lang w:eastAsia="es-ES"/>
              </w:rPr>
              <w:t>., 2011)</w:t>
            </w:r>
            <w:r w:rsidRPr="00E96356">
              <w:rPr>
                <w:rFonts w:ascii="Arial" w:eastAsia="Times New Roman" w:hAnsi="Arial" w:cs="Arial"/>
                <w:color w:val="000000" w:themeColor="text1"/>
                <w:lang w:eastAsia="es-ES"/>
              </w:rPr>
              <w:t>. La población, en su conjunto, y su diversidad genética, se encuentran degradadas</w:t>
            </w:r>
            <w:r>
              <w:rPr>
                <w:rFonts w:ascii="Arial" w:eastAsia="Times New Roman" w:hAnsi="Arial" w:cs="Arial"/>
                <w:color w:val="000000" w:themeColor="text1"/>
                <w:lang w:eastAsia="es-ES"/>
              </w:rPr>
              <w:t xml:space="preserve"> (</w:t>
            </w:r>
            <w:r w:rsidRPr="00B776B9">
              <w:rPr>
                <w:rFonts w:ascii="Arial" w:eastAsia="Times New Roman" w:hAnsi="Arial" w:cs="Arial"/>
                <w:smallCaps/>
                <w:color w:val="000000" w:themeColor="text1"/>
                <w:lang w:eastAsia="es-ES"/>
              </w:rPr>
              <w:t>Iraola</w:t>
            </w:r>
            <w:r>
              <w:rPr>
                <w:rFonts w:ascii="Arial" w:eastAsia="Times New Roman" w:hAnsi="Arial" w:cs="Arial"/>
                <w:color w:val="000000" w:themeColor="text1"/>
                <w:lang w:eastAsia="es-ES"/>
              </w:rPr>
              <w:t xml:space="preserve"> </w:t>
            </w:r>
            <w:r w:rsidRPr="00E96356">
              <w:rPr>
                <w:rFonts w:ascii="Arial" w:eastAsia="Times New Roman" w:hAnsi="Arial" w:cs="Arial"/>
                <w:i/>
                <w:color w:val="000000" w:themeColor="text1"/>
                <w:lang w:eastAsia="es-ES"/>
              </w:rPr>
              <w:t>et al</w:t>
            </w:r>
            <w:r>
              <w:rPr>
                <w:rFonts w:ascii="Arial" w:eastAsia="Times New Roman" w:hAnsi="Arial" w:cs="Arial"/>
                <w:color w:val="000000" w:themeColor="text1"/>
                <w:lang w:eastAsia="es-ES"/>
              </w:rPr>
              <w:t>., 2007)</w:t>
            </w:r>
            <w:r w:rsidRPr="00E96356">
              <w:rPr>
                <w:rFonts w:ascii="Arial" w:eastAsia="Times New Roman" w:hAnsi="Arial" w:cs="Arial"/>
                <w:color w:val="000000" w:themeColor="text1"/>
                <w:lang w:eastAsia="es-ES"/>
              </w:rPr>
              <w:t>. La destrucción y alteración de los puntos de reproducción supone un fuerte impacto en la estructura metapoblacional de la especie, y el efecto barrera de la densa red viaria incrementa su grado de aislamiento interno</w:t>
            </w:r>
            <w:r>
              <w:rPr>
                <w:rFonts w:ascii="Arial" w:eastAsia="Times New Roman" w:hAnsi="Arial" w:cs="Arial"/>
                <w:color w:val="000000" w:themeColor="text1"/>
                <w:lang w:eastAsia="es-ES"/>
              </w:rPr>
              <w:t xml:space="preserve"> (</w:t>
            </w:r>
            <w:r w:rsidRPr="00B776B9">
              <w:rPr>
                <w:rFonts w:ascii="Arial" w:eastAsia="Times New Roman" w:hAnsi="Arial" w:cs="Arial"/>
                <w:smallCaps/>
                <w:color w:val="000000" w:themeColor="text1"/>
                <w:lang w:eastAsia="es-ES"/>
              </w:rPr>
              <w:t>San Sebastián</w:t>
            </w:r>
            <w:r>
              <w:rPr>
                <w:rFonts w:ascii="Arial" w:eastAsia="Times New Roman" w:hAnsi="Arial" w:cs="Arial"/>
                <w:color w:val="000000" w:themeColor="text1"/>
                <w:lang w:eastAsia="es-ES"/>
              </w:rPr>
              <w:t xml:space="preserve"> </w:t>
            </w:r>
            <w:r w:rsidRPr="00E96356">
              <w:rPr>
                <w:rFonts w:ascii="Arial" w:eastAsia="Times New Roman" w:hAnsi="Arial" w:cs="Arial"/>
                <w:i/>
                <w:color w:val="000000" w:themeColor="text1"/>
                <w:lang w:eastAsia="es-ES"/>
              </w:rPr>
              <w:t>et al</w:t>
            </w:r>
            <w:r>
              <w:rPr>
                <w:rFonts w:ascii="Arial" w:eastAsia="Times New Roman" w:hAnsi="Arial" w:cs="Arial"/>
                <w:color w:val="000000" w:themeColor="text1"/>
                <w:lang w:eastAsia="es-ES"/>
              </w:rPr>
              <w:t xml:space="preserve">., 2005; </w:t>
            </w:r>
            <w:r w:rsidRPr="00B776B9">
              <w:rPr>
                <w:rFonts w:ascii="Arial" w:eastAsia="Times New Roman" w:hAnsi="Arial" w:cs="Arial"/>
                <w:smallCaps/>
                <w:color w:val="000000" w:themeColor="text1"/>
                <w:lang w:eastAsia="es-ES"/>
              </w:rPr>
              <w:t>Garin-Barrio</w:t>
            </w:r>
            <w:r>
              <w:rPr>
                <w:rFonts w:ascii="Arial" w:eastAsia="Times New Roman" w:hAnsi="Arial" w:cs="Arial"/>
                <w:color w:val="000000" w:themeColor="text1"/>
                <w:lang w:eastAsia="es-ES"/>
              </w:rPr>
              <w:t xml:space="preserve"> </w:t>
            </w:r>
            <w:r w:rsidRPr="00E96356">
              <w:rPr>
                <w:rFonts w:ascii="Arial" w:eastAsia="Times New Roman" w:hAnsi="Arial" w:cs="Arial"/>
                <w:i/>
                <w:color w:val="000000" w:themeColor="text1"/>
                <w:lang w:eastAsia="es-ES"/>
              </w:rPr>
              <w:t>et al</w:t>
            </w:r>
            <w:r>
              <w:rPr>
                <w:rFonts w:ascii="Arial" w:eastAsia="Times New Roman" w:hAnsi="Arial" w:cs="Arial"/>
                <w:color w:val="000000" w:themeColor="text1"/>
                <w:lang w:eastAsia="es-ES"/>
              </w:rPr>
              <w:t>., 2011)</w:t>
            </w:r>
            <w:r w:rsidRPr="00E96356">
              <w:rPr>
                <w:rFonts w:ascii="Arial" w:eastAsia="Times New Roman" w:hAnsi="Arial" w:cs="Arial"/>
                <w:color w:val="000000" w:themeColor="text1"/>
                <w:lang w:eastAsia="es-ES"/>
              </w:rPr>
              <w:t>.</w:t>
            </w:r>
            <w:r w:rsidRPr="00E96356">
              <w:rPr>
                <w:rFonts w:ascii="Arial" w:hAnsi="Arial" w:cs="Arial"/>
              </w:rPr>
              <w:t xml:space="preserve"> </w:t>
            </w:r>
            <w:r w:rsidRPr="00E96356">
              <w:rPr>
                <w:rFonts w:ascii="Arial" w:eastAsia="Times New Roman" w:hAnsi="Arial" w:cs="Arial"/>
                <w:color w:val="000000" w:themeColor="text1"/>
                <w:lang w:eastAsia="es-ES"/>
              </w:rPr>
              <w:t>Siendo la destrucción y alteración del medio la principal amenaza que se cierne sobre la población, no es la única. Al menos, otras cuatro amenazas la afectan en su totalidad, o en parte. Los atropellos producidos por el tránsito rodado aíslan los núcleos y disminuyen el número de efectivos.</w:t>
            </w:r>
            <w:r w:rsidRPr="00E96356">
              <w:rPr>
                <w:rFonts w:ascii="Arial" w:hAnsi="Arial" w:cs="Arial"/>
              </w:rPr>
              <w:t xml:space="preserve"> </w:t>
            </w:r>
            <w:r w:rsidRPr="00E96356">
              <w:rPr>
                <w:rFonts w:ascii="Arial" w:eastAsia="Times New Roman" w:hAnsi="Arial" w:cs="Arial"/>
                <w:color w:val="000000" w:themeColor="text1"/>
                <w:lang w:eastAsia="es-ES"/>
              </w:rPr>
              <w:t>La introducción de especies exóticas invasoras, como el cangrejo rojo (</w:t>
            </w:r>
            <w:r w:rsidRPr="00E96356">
              <w:rPr>
                <w:rFonts w:ascii="Arial" w:eastAsia="Times New Roman" w:hAnsi="Arial" w:cs="Arial"/>
                <w:i/>
                <w:color w:val="000000" w:themeColor="text1"/>
                <w:lang w:eastAsia="es-ES"/>
              </w:rPr>
              <w:t>Procambarus clarckii</w:t>
            </w:r>
            <w:r w:rsidRPr="00E96356">
              <w:rPr>
                <w:rFonts w:ascii="Arial" w:eastAsia="Times New Roman" w:hAnsi="Arial" w:cs="Arial"/>
                <w:color w:val="000000" w:themeColor="text1"/>
                <w:lang w:eastAsia="es-ES"/>
              </w:rPr>
              <w:t>) o la gambusia (</w:t>
            </w:r>
            <w:r w:rsidRPr="00E96356">
              <w:rPr>
                <w:rFonts w:ascii="Arial" w:eastAsia="Times New Roman" w:hAnsi="Arial" w:cs="Arial"/>
                <w:i/>
                <w:color w:val="000000" w:themeColor="text1"/>
                <w:lang w:eastAsia="es-ES"/>
              </w:rPr>
              <w:t>Gambusia holbrooki</w:t>
            </w:r>
            <w:r w:rsidRPr="00E96356">
              <w:rPr>
                <w:rFonts w:ascii="Arial" w:eastAsia="Times New Roman" w:hAnsi="Arial" w:cs="Arial"/>
                <w:color w:val="000000" w:themeColor="text1"/>
                <w:lang w:eastAsia="es-ES"/>
              </w:rPr>
              <w:t>), es una amenaza con una incidencia variable en la especie, debido a que ésta escoge charcas efímeras para reproducirse.</w:t>
            </w:r>
            <w:r w:rsidRPr="00E96356">
              <w:rPr>
                <w:rFonts w:ascii="Arial" w:hAnsi="Arial" w:cs="Arial"/>
              </w:rPr>
              <w:t xml:space="preserve"> </w:t>
            </w:r>
            <w:r w:rsidRPr="00E96356">
              <w:rPr>
                <w:rFonts w:ascii="Arial" w:eastAsia="Times New Roman" w:hAnsi="Arial" w:cs="Arial"/>
                <w:color w:val="000000" w:themeColor="text1"/>
                <w:lang w:eastAsia="es-ES"/>
              </w:rPr>
              <w:t>El uso de productos fitosanitarios es una práctica habitual en los cultivos de Txingudi</w:t>
            </w:r>
            <w:r w:rsidR="00347989">
              <w:rPr>
                <w:rFonts w:ascii="Arial" w:eastAsia="Times New Roman" w:hAnsi="Arial" w:cs="Arial"/>
                <w:color w:val="000000" w:themeColor="text1"/>
                <w:lang w:eastAsia="es-ES"/>
              </w:rPr>
              <w:t xml:space="preserve"> y a</w:t>
            </w:r>
            <w:r w:rsidRPr="00E96356">
              <w:rPr>
                <w:rFonts w:ascii="Arial" w:eastAsia="Times New Roman" w:hAnsi="Arial" w:cs="Arial"/>
                <w:color w:val="000000" w:themeColor="text1"/>
                <w:lang w:eastAsia="es-ES"/>
              </w:rPr>
              <w:t>unque no se hayan testado sus efectos nocivos, las poblaciones larvarias p</w:t>
            </w:r>
            <w:r w:rsidR="007F5364">
              <w:rPr>
                <w:rFonts w:ascii="Arial" w:eastAsia="Times New Roman" w:hAnsi="Arial" w:cs="Arial"/>
                <w:color w:val="000000" w:themeColor="text1"/>
                <w:lang w:eastAsia="es-ES"/>
              </w:rPr>
              <w:t>odrían</w:t>
            </w:r>
            <w:r w:rsidRPr="00E96356">
              <w:rPr>
                <w:rFonts w:ascii="Arial" w:eastAsia="Times New Roman" w:hAnsi="Arial" w:cs="Arial"/>
                <w:color w:val="000000" w:themeColor="text1"/>
                <w:lang w:eastAsia="es-ES"/>
              </w:rPr>
              <w:t xml:space="preserve"> verse negativamente afectadas por esta causa en algunos núcleos</w:t>
            </w:r>
            <w:r>
              <w:rPr>
                <w:rFonts w:ascii="Arial" w:eastAsia="Times New Roman" w:hAnsi="Arial" w:cs="Arial"/>
                <w:color w:val="000000" w:themeColor="text1"/>
                <w:lang w:eastAsia="es-ES"/>
              </w:rPr>
              <w:t xml:space="preserve"> (</w:t>
            </w:r>
            <w:r w:rsidRPr="00B776B9">
              <w:rPr>
                <w:rFonts w:ascii="Arial" w:eastAsia="Times New Roman" w:hAnsi="Arial" w:cs="Arial"/>
                <w:smallCaps/>
                <w:color w:val="000000" w:themeColor="text1"/>
                <w:lang w:eastAsia="es-ES"/>
              </w:rPr>
              <w:t>San Sebastián</w:t>
            </w:r>
            <w:r>
              <w:rPr>
                <w:rFonts w:ascii="Arial" w:eastAsia="Times New Roman" w:hAnsi="Arial" w:cs="Arial"/>
                <w:color w:val="000000" w:themeColor="text1"/>
                <w:lang w:eastAsia="es-ES"/>
              </w:rPr>
              <w:t xml:space="preserve"> </w:t>
            </w:r>
            <w:r w:rsidRPr="00E96356">
              <w:rPr>
                <w:rFonts w:ascii="Arial" w:eastAsia="Times New Roman" w:hAnsi="Arial" w:cs="Arial"/>
                <w:i/>
                <w:color w:val="000000" w:themeColor="text1"/>
                <w:lang w:eastAsia="es-ES"/>
              </w:rPr>
              <w:t>et al</w:t>
            </w:r>
            <w:r>
              <w:rPr>
                <w:rFonts w:ascii="Arial" w:eastAsia="Times New Roman" w:hAnsi="Arial" w:cs="Arial"/>
                <w:color w:val="000000" w:themeColor="text1"/>
                <w:lang w:eastAsia="es-ES"/>
              </w:rPr>
              <w:t xml:space="preserve">., 2005; </w:t>
            </w:r>
            <w:r w:rsidRPr="00B776B9">
              <w:rPr>
                <w:rFonts w:ascii="Arial" w:eastAsia="Times New Roman" w:hAnsi="Arial" w:cs="Arial"/>
                <w:smallCaps/>
                <w:color w:val="000000" w:themeColor="text1"/>
                <w:lang w:eastAsia="es-ES"/>
              </w:rPr>
              <w:t>Garin-Barrio</w:t>
            </w:r>
            <w:r>
              <w:rPr>
                <w:rFonts w:ascii="Arial" w:eastAsia="Times New Roman" w:hAnsi="Arial" w:cs="Arial"/>
                <w:color w:val="000000" w:themeColor="text1"/>
                <w:lang w:eastAsia="es-ES"/>
              </w:rPr>
              <w:t xml:space="preserve"> </w:t>
            </w:r>
            <w:r w:rsidRPr="00E96356">
              <w:rPr>
                <w:rFonts w:ascii="Arial" w:eastAsia="Times New Roman" w:hAnsi="Arial" w:cs="Arial"/>
                <w:i/>
                <w:color w:val="000000" w:themeColor="text1"/>
                <w:lang w:eastAsia="es-ES"/>
              </w:rPr>
              <w:t>et al</w:t>
            </w:r>
            <w:r>
              <w:rPr>
                <w:rFonts w:ascii="Arial" w:eastAsia="Times New Roman" w:hAnsi="Arial" w:cs="Arial"/>
                <w:color w:val="000000" w:themeColor="text1"/>
                <w:lang w:eastAsia="es-ES"/>
              </w:rPr>
              <w:t>., 2011)</w:t>
            </w:r>
            <w:r w:rsidRPr="00E96356">
              <w:rPr>
                <w:rFonts w:ascii="Arial" w:eastAsia="Times New Roman" w:hAnsi="Arial" w:cs="Arial"/>
                <w:color w:val="000000" w:themeColor="text1"/>
                <w:lang w:eastAsia="es-ES"/>
              </w:rPr>
              <w:t>.</w:t>
            </w:r>
          </w:p>
          <w:p w14:paraId="710C1CC3" w14:textId="7886C7E3" w:rsidR="00BF05C5" w:rsidRDefault="00E96356" w:rsidP="00287A41">
            <w:pPr>
              <w:spacing w:line="360" w:lineRule="auto"/>
              <w:jc w:val="both"/>
              <w:rPr>
                <w:rFonts w:ascii="Arial" w:eastAsia="Times New Roman" w:hAnsi="Arial" w:cs="Arial"/>
                <w:color w:val="000000" w:themeColor="text1"/>
                <w:lang w:eastAsia="es-ES"/>
              </w:rPr>
            </w:pPr>
            <w:r w:rsidRPr="00E96356">
              <w:rPr>
                <w:rFonts w:ascii="Arial" w:eastAsia="Times New Roman" w:hAnsi="Arial" w:cs="Arial"/>
                <w:color w:val="000000" w:themeColor="text1"/>
                <w:lang w:eastAsia="es-ES"/>
              </w:rPr>
              <w:t xml:space="preserve">La urbanización de </w:t>
            </w:r>
            <w:r w:rsidR="007F5364">
              <w:rPr>
                <w:rFonts w:ascii="Arial" w:eastAsia="Times New Roman" w:hAnsi="Arial" w:cs="Arial"/>
                <w:color w:val="000000" w:themeColor="text1"/>
                <w:lang w:eastAsia="es-ES"/>
              </w:rPr>
              <w:t xml:space="preserve">algunas </w:t>
            </w:r>
            <w:r w:rsidRPr="00E96356">
              <w:rPr>
                <w:rFonts w:ascii="Arial" w:eastAsia="Times New Roman" w:hAnsi="Arial" w:cs="Arial"/>
                <w:color w:val="000000" w:themeColor="text1"/>
                <w:lang w:eastAsia="es-ES"/>
              </w:rPr>
              <w:t>áreas coincidentes con el hábitat terrestre del sapo, y la destrucción de los pequeños enclaves húmedos de reproducción, parece</w:t>
            </w:r>
            <w:r w:rsidR="007F5364">
              <w:rPr>
                <w:rFonts w:ascii="Arial" w:eastAsia="Times New Roman" w:hAnsi="Arial" w:cs="Arial"/>
                <w:color w:val="000000" w:themeColor="text1"/>
                <w:lang w:eastAsia="es-ES"/>
              </w:rPr>
              <w:t>n</w:t>
            </w:r>
            <w:r w:rsidRPr="00E96356">
              <w:rPr>
                <w:rFonts w:ascii="Arial" w:eastAsia="Times New Roman" w:hAnsi="Arial" w:cs="Arial"/>
                <w:color w:val="000000" w:themeColor="text1"/>
                <w:lang w:eastAsia="es-ES"/>
              </w:rPr>
              <w:t xml:space="preserve"> haber sido la causa principal del retroceso y enclaustramiento de la población en la playa de </w:t>
            </w:r>
            <w:r w:rsidR="00A67983">
              <w:rPr>
                <w:rFonts w:ascii="Arial" w:eastAsia="Times New Roman" w:hAnsi="Arial" w:cs="Arial"/>
                <w:color w:val="000000" w:themeColor="text1"/>
                <w:lang w:eastAsia="es-ES"/>
              </w:rPr>
              <w:t>Gorrondatxe</w:t>
            </w:r>
            <w:r w:rsidRPr="00E96356">
              <w:rPr>
                <w:rFonts w:ascii="Arial" w:eastAsia="Times New Roman" w:hAnsi="Arial" w:cs="Arial"/>
                <w:color w:val="000000" w:themeColor="text1"/>
                <w:lang w:eastAsia="es-ES"/>
              </w:rPr>
              <w:t xml:space="preserve">. Éste es el único enclave de la zona que comparte un hábitat terrestre favorable a los requerimientos ecológicos del sapo y zonas aseguradas de encharcamiento anual estacional. El cuello de botella genético de 2006-2007 </w:t>
            </w:r>
            <w:r w:rsidR="008A7AE9">
              <w:rPr>
                <w:rFonts w:ascii="Arial" w:eastAsia="Times New Roman" w:hAnsi="Arial" w:cs="Arial"/>
                <w:color w:val="000000" w:themeColor="text1"/>
                <w:lang w:eastAsia="es-ES"/>
              </w:rPr>
              <w:t>como consecuencia de</w:t>
            </w:r>
            <w:r w:rsidR="008A7AE9" w:rsidRPr="00E96356">
              <w:rPr>
                <w:rFonts w:ascii="Arial" w:eastAsia="Times New Roman" w:hAnsi="Arial" w:cs="Arial"/>
                <w:color w:val="000000" w:themeColor="text1"/>
                <w:lang w:eastAsia="es-ES"/>
              </w:rPr>
              <w:t xml:space="preserve"> </w:t>
            </w:r>
            <w:r w:rsidRPr="00E96356">
              <w:rPr>
                <w:rFonts w:ascii="Arial" w:eastAsia="Times New Roman" w:hAnsi="Arial" w:cs="Arial"/>
                <w:color w:val="000000" w:themeColor="text1"/>
                <w:lang w:eastAsia="es-ES"/>
              </w:rPr>
              <w:t>la reducción extrema del número de reproductores puede tener consecuencias futuras en la salud de la población, que están por evaluar</w:t>
            </w:r>
            <w:r>
              <w:rPr>
                <w:rFonts w:ascii="Arial" w:eastAsia="Times New Roman" w:hAnsi="Arial" w:cs="Arial"/>
                <w:color w:val="000000" w:themeColor="text1"/>
                <w:lang w:eastAsia="es-ES"/>
              </w:rPr>
              <w:t xml:space="preserve"> (</w:t>
            </w:r>
            <w:r w:rsidRPr="00B776B9">
              <w:rPr>
                <w:rFonts w:ascii="Arial" w:eastAsia="Times New Roman" w:hAnsi="Arial" w:cs="Arial"/>
                <w:smallCaps/>
                <w:color w:val="000000" w:themeColor="text1"/>
                <w:lang w:eastAsia="es-ES"/>
              </w:rPr>
              <w:t>Iraola</w:t>
            </w:r>
            <w:r>
              <w:rPr>
                <w:rFonts w:ascii="Arial" w:eastAsia="Times New Roman" w:hAnsi="Arial" w:cs="Arial"/>
                <w:color w:val="000000" w:themeColor="text1"/>
                <w:lang w:eastAsia="es-ES"/>
              </w:rPr>
              <w:t xml:space="preserve"> </w:t>
            </w:r>
            <w:r w:rsidRPr="00E96356">
              <w:rPr>
                <w:rFonts w:ascii="Arial" w:eastAsia="Times New Roman" w:hAnsi="Arial" w:cs="Arial"/>
                <w:i/>
                <w:color w:val="000000" w:themeColor="text1"/>
                <w:lang w:eastAsia="es-ES"/>
              </w:rPr>
              <w:t>et al</w:t>
            </w:r>
            <w:r>
              <w:rPr>
                <w:rFonts w:ascii="Arial" w:eastAsia="Times New Roman" w:hAnsi="Arial" w:cs="Arial"/>
                <w:color w:val="000000" w:themeColor="text1"/>
                <w:lang w:eastAsia="es-ES"/>
              </w:rPr>
              <w:t>., 2007)</w:t>
            </w:r>
            <w:r w:rsidRPr="00E96356">
              <w:rPr>
                <w:rFonts w:ascii="Arial" w:eastAsia="Times New Roman" w:hAnsi="Arial" w:cs="Arial"/>
                <w:color w:val="000000" w:themeColor="text1"/>
                <w:lang w:eastAsia="es-ES"/>
              </w:rPr>
              <w:t>.</w:t>
            </w:r>
          </w:p>
          <w:p w14:paraId="53D87673" w14:textId="65AF585B" w:rsidR="00BF05C5" w:rsidRDefault="00E96356" w:rsidP="00287A41">
            <w:pPr>
              <w:spacing w:line="360" w:lineRule="auto"/>
              <w:jc w:val="both"/>
              <w:rPr>
                <w:rFonts w:ascii="Arial" w:eastAsia="Times New Roman" w:hAnsi="Arial" w:cs="Arial"/>
                <w:color w:val="000000" w:themeColor="text1"/>
                <w:lang w:eastAsia="es-ES"/>
              </w:rPr>
            </w:pPr>
            <w:r w:rsidRPr="00E96356">
              <w:rPr>
                <w:rFonts w:ascii="Arial" w:eastAsia="Times New Roman" w:hAnsi="Arial" w:cs="Arial"/>
                <w:color w:val="000000" w:themeColor="text1"/>
                <w:lang w:eastAsia="es-ES"/>
              </w:rPr>
              <w:t>La evolución natural del medio no siempre es la más favorable a la especie, porque ciertos manantiales y encharcamientos de agua más o menos permanente tienden a colmatarse de vegetación, con la pérdida consecuente de calidad como hábitats de reproducción del sapo</w:t>
            </w:r>
            <w:r w:rsidR="00287A41">
              <w:rPr>
                <w:rFonts w:ascii="Arial" w:eastAsia="Times New Roman" w:hAnsi="Arial" w:cs="Arial"/>
                <w:color w:val="000000" w:themeColor="text1"/>
                <w:lang w:eastAsia="es-ES"/>
              </w:rPr>
              <w:t xml:space="preserve"> (</w:t>
            </w:r>
            <w:r w:rsidR="00287A41" w:rsidRPr="00B776B9">
              <w:rPr>
                <w:rFonts w:ascii="Arial" w:eastAsia="Times New Roman" w:hAnsi="Arial" w:cs="Arial"/>
                <w:smallCaps/>
                <w:color w:val="000000" w:themeColor="text1"/>
                <w:lang w:eastAsia="es-ES"/>
              </w:rPr>
              <w:t>San Sebastián</w:t>
            </w:r>
            <w:r w:rsidR="00287A41">
              <w:rPr>
                <w:rFonts w:ascii="Arial" w:eastAsia="Times New Roman" w:hAnsi="Arial" w:cs="Arial"/>
                <w:color w:val="000000" w:themeColor="text1"/>
                <w:lang w:eastAsia="es-ES"/>
              </w:rPr>
              <w:t xml:space="preserve"> </w:t>
            </w:r>
            <w:r w:rsidR="00287A41" w:rsidRPr="00E96356">
              <w:rPr>
                <w:rFonts w:ascii="Arial" w:eastAsia="Times New Roman" w:hAnsi="Arial" w:cs="Arial"/>
                <w:i/>
                <w:color w:val="000000" w:themeColor="text1"/>
                <w:lang w:eastAsia="es-ES"/>
              </w:rPr>
              <w:t>et al</w:t>
            </w:r>
            <w:r w:rsidR="00287A41">
              <w:rPr>
                <w:rFonts w:ascii="Arial" w:eastAsia="Times New Roman" w:hAnsi="Arial" w:cs="Arial"/>
                <w:color w:val="000000" w:themeColor="text1"/>
                <w:lang w:eastAsia="es-ES"/>
              </w:rPr>
              <w:t xml:space="preserve">., 2006; </w:t>
            </w:r>
            <w:r w:rsidR="00287A41" w:rsidRPr="00B776B9">
              <w:rPr>
                <w:rFonts w:ascii="Arial" w:eastAsia="Times New Roman" w:hAnsi="Arial" w:cs="Arial"/>
                <w:smallCaps/>
                <w:color w:val="000000" w:themeColor="text1"/>
                <w:lang w:eastAsia="es-ES"/>
              </w:rPr>
              <w:t>Garin-Barrio</w:t>
            </w:r>
            <w:r w:rsidR="00287A41">
              <w:rPr>
                <w:rFonts w:ascii="Arial" w:eastAsia="Times New Roman" w:hAnsi="Arial" w:cs="Arial"/>
                <w:color w:val="000000" w:themeColor="text1"/>
                <w:lang w:eastAsia="es-ES"/>
              </w:rPr>
              <w:t xml:space="preserve"> </w:t>
            </w:r>
            <w:r w:rsidR="00287A41" w:rsidRPr="00E96356">
              <w:rPr>
                <w:rFonts w:ascii="Arial" w:eastAsia="Times New Roman" w:hAnsi="Arial" w:cs="Arial"/>
                <w:i/>
                <w:color w:val="000000" w:themeColor="text1"/>
                <w:lang w:eastAsia="es-ES"/>
              </w:rPr>
              <w:t>et al</w:t>
            </w:r>
            <w:r w:rsidR="00287A41">
              <w:rPr>
                <w:rFonts w:ascii="Arial" w:eastAsia="Times New Roman" w:hAnsi="Arial" w:cs="Arial"/>
                <w:color w:val="000000" w:themeColor="text1"/>
                <w:lang w:eastAsia="es-ES"/>
              </w:rPr>
              <w:t xml:space="preserve">., 2007; </w:t>
            </w:r>
            <w:r w:rsidR="00287A41" w:rsidRPr="00B776B9">
              <w:rPr>
                <w:rFonts w:ascii="Arial" w:eastAsia="Times New Roman" w:hAnsi="Arial" w:cs="Arial"/>
                <w:smallCaps/>
                <w:color w:val="000000" w:themeColor="text1"/>
                <w:lang w:eastAsia="es-ES"/>
              </w:rPr>
              <w:t>Garin-Barrio</w:t>
            </w:r>
            <w:r w:rsidR="00287A41">
              <w:rPr>
                <w:rFonts w:ascii="Arial" w:eastAsia="Times New Roman" w:hAnsi="Arial" w:cs="Arial"/>
                <w:color w:val="000000" w:themeColor="text1"/>
                <w:lang w:eastAsia="es-ES"/>
              </w:rPr>
              <w:t xml:space="preserve"> </w:t>
            </w:r>
            <w:r w:rsidR="00287A41" w:rsidRPr="00E96356">
              <w:rPr>
                <w:rFonts w:ascii="Arial" w:eastAsia="Times New Roman" w:hAnsi="Arial" w:cs="Arial"/>
                <w:i/>
                <w:color w:val="000000" w:themeColor="text1"/>
                <w:lang w:eastAsia="es-ES"/>
              </w:rPr>
              <w:t>et al</w:t>
            </w:r>
            <w:r w:rsidR="00287A41">
              <w:rPr>
                <w:rFonts w:ascii="Arial" w:eastAsia="Times New Roman" w:hAnsi="Arial" w:cs="Arial"/>
                <w:color w:val="000000" w:themeColor="text1"/>
                <w:lang w:eastAsia="es-ES"/>
              </w:rPr>
              <w:t>., 2011)</w:t>
            </w:r>
            <w:r w:rsidRPr="00E96356">
              <w:rPr>
                <w:rFonts w:ascii="Arial" w:eastAsia="Times New Roman" w:hAnsi="Arial" w:cs="Arial"/>
                <w:color w:val="000000" w:themeColor="text1"/>
                <w:lang w:eastAsia="es-ES"/>
              </w:rPr>
              <w:t xml:space="preserve">. Algunos humedales han sido invadidos por especies herbáceas exóticas, como </w:t>
            </w:r>
            <w:r w:rsidRPr="00E96356">
              <w:rPr>
                <w:rFonts w:ascii="Arial" w:eastAsia="Times New Roman" w:hAnsi="Arial" w:cs="Arial"/>
                <w:i/>
                <w:color w:val="000000" w:themeColor="text1"/>
                <w:lang w:eastAsia="es-ES"/>
              </w:rPr>
              <w:t>Spartina patens</w:t>
            </w:r>
            <w:r w:rsidRPr="00E96356">
              <w:rPr>
                <w:rFonts w:ascii="Arial" w:eastAsia="Times New Roman" w:hAnsi="Arial" w:cs="Arial"/>
                <w:color w:val="000000" w:themeColor="text1"/>
                <w:lang w:eastAsia="es-ES"/>
              </w:rPr>
              <w:t xml:space="preserve">, </w:t>
            </w:r>
            <w:r w:rsidR="00A67983">
              <w:rPr>
                <w:rFonts w:ascii="Arial" w:eastAsia="Times New Roman" w:hAnsi="Arial" w:cs="Arial"/>
                <w:color w:val="000000" w:themeColor="text1"/>
                <w:lang w:eastAsia="es-ES"/>
              </w:rPr>
              <w:t xml:space="preserve">que crece creando densas matas que </w:t>
            </w:r>
            <w:r w:rsidR="00A67983">
              <w:rPr>
                <w:rFonts w:ascii="Arial" w:hAnsi="Arial" w:cs="Arial"/>
                <w:szCs w:val="28"/>
              </w:rPr>
              <w:t>ocupan todo el espacio de aguas libres, de manera que los humedales quedan</w:t>
            </w:r>
            <w:r w:rsidR="00A67983" w:rsidRPr="00E96356">
              <w:rPr>
                <w:rFonts w:ascii="Arial" w:eastAsia="Times New Roman" w:hAnsi="Arial" w:cs="Arial"/>
                <w:color w:val="000000" w:themeColor="text1"/>
                <w:lang w:eastAsia="es-ES"/>
              </w:rPr>
              <w:t xml:space="preserve"> </w:t>
            </w:r>
            <w:r w:rsidRPr="00E96356">
              <w:rPr>
                <w:rFonts w:ascii="Arial" w:eastAsia="Times New Roman" w:hAnsi="Arial" w:cs="Arial"/>
                <w:color w:val="000000" w:themeColor="text1"/>
                <w:lang w:eastAsia="es-ES"/>
              </w:rPr>
              <w:t>inhabilit</w:t>
            </w:r>
            <w:r w:rsidR="00A67983">
              <w:rPr>
                <w:rFonts w:ascii="Arial" w:eastAsia="Times New Roman" w:hAnsi="Arial" w:cs="Arial"/>
                <w:color w:val="000000" w:themeColor="text1"/>
                <w:lang w:eastAsia="es-ES"/>
              </w:rPr>
              <w:t>ados</w:t>
            </w:r>
            <w:r w:rsidRPr="00E96356">
              <w:rPr>
                <w:rFonts w:ascii="Arial" w:eastAsia="Times New Roman" w:hAnsi="Arial" w:cs="Arial"/>
                <w:color w:val="000000" w:themeColor="text1"/>
                <w:lang w:eastAsia="es-ES"/>
              </w:rPr>
              <w:t xml:space="preserve"> como espacios para la reproducción </w:t>
            </w:r>
            <w:r w:rsidR="00A67983">
              <w:rPr>
                <w:rFonts w:ascii="Arial" w:eastAsia="Times New Roman" w:hAnsi="Arial" w:cs="Arial"/>
                <w:color w:val="000000" w:themeColor="text1"/>
                <w:lang w:eastAsia="es-ES"/>
              </w:rPr>
              <w:t>para el</w:t>
            </w:r>
            <w:r w:rsidR="00A67983" w:rsidRPr="00E96356">
              <w:rPr>
                <w:rFonts w:ascii="Arial" w:eastAsia="Times New Roman" w:hAnsi="Arial" w:cs="Arial"/>
                <w:color w:val="000000" w:themeColor="text1"/>
                <w:lang w:eastAsia="es-ES"/>
              </w:rPr>
              <w:t xml:space="preserve"> </w:t>
            </w:r>
            <w:r w:rsidRPr="00E96356">
              <w:rPr>
                <w:rFonts w:ascii="Arial" w:eastAsia="Times New Roman" w:hAnsi="Arial" w:cs="Arial"/>
                <w:color w:val="000000" w:themeColor="text1"/>
                <w:lang w:eastAsia="es-ES"/>
              </w:rPr>
              <w:t>sapo corredor. Este cúmulo de circunstancias requiere una gestión continua de los humedales. Además</w:t>
            </w:r>
            <w:r w:rsidR="00A67983">
              <w:rPr>
                <w:rFonts w:ascii="Arial" w:eastAsia="Times New Roman" w:hAnsi="Arial" w:cs="Arial"/>
                <w:color w:val="000000" w:themeColor="text1"/>
                <w:lang w:eastAsia="es-ES"/>
              </w:rPr>
              <w:t>,</w:t>
            </w:r>
            <w:r w:rsidRPr="00E96356">
              <w:rPr>
                <w:rFonts w:ascii="Arial" w:eastAsia="Times New Roman" w:hAnsi="Arial" w:cs="Arial"/>
                <w:color w:val="000000" w:themeColor="text1"/>
                <w:lang w:eastAsia="es-ES"/>
              </w:rPr>
              <w:t xml:space="preserve"> la población se reproduce en un reducido número de humedales (</w:t>
            </w:r>
            <w:r w:rsidR="00A247F9">
              <w:rPr>
                <w:rFonts w:ascii="Arial" w:eastAsia="Times New Roman" w:hAnsi="Arial" w:cs="Arial"/>
                <w:color w:val="000000" w:themeColor="text1"/>
                <w:lang w:eastAsia="es-ES"/>
              </w:rPr>
              <w:t>la mayoría de</w:t>
            </w:r>
            <w:r w:rsidR="00A247F9" w:rsidRPr="00E96356">
              <w:rPr>
                <w:rFonts w:ascii="Arial" w:eastAsia="Times New Roman" w:hAnsi="Arial" w:cs="Arial"/>
                <w:color w:val="000000" w:themeColor="text1"/>
                <w:lang w:eastAsia="es-ES"/>
              </w:rPr>
              <w:t xml:space="preserve"> </w:t>
            </w:r>
            <w:r w:rsidRPr="00E96356">
              <w:rPr>
                <w:rFonts w:ascii="Arial" w:eastAsia="Times New Roman" w:hAnsi="Arial" w:cs="Arial"/>
                <w:color w:val="000000" w:themeColor="text1"/>
                <w:lang w:eastAsia="es-ES"/>
              </w:rPr>
              <w:t>años en uno solo), lo que supone un gran riesgo para el reclutamiento anual, que puede quedar sujeto a eventos catastróficos</w:t>
            </w:r>
            <w:r w:rsidR="00287A41">
              <w:rPr>
                <w:rFonts w:ascii="Arial" w:eastAsia="Times New Roman" w:hAnsi="Arial" w:cs="Arial"/>
                <w:color w:val="000000" w:themeColor="text1"/>
                <w:lang w:eastAsia="es-ES"/>
              </w:rPr>
              <w:t xml:space="preserve"> (</w:t>
            </w:r>
            <w:r w:rsidR="00287A41" w:rsidRPr="00B776B9">
              <w:rPr>
                <w:rFonts w:ascii="Arial" w:eastAsia="Times New Roman" w:hAnsi="Arial" w:cs="Arial"/>
                <w:smallCaps/>
                <w:color w:val="000000" w:themeColor="text1"/>
                <w:lang w:eastAsia="es-ES"/>
              </w:rPr>
              <w:t>Laza-Martínez</w:t>
            </w:r>
            <w:r w:rsidR="00287A41">
              <w:rPr>
                <w:rFonts w:ascii="Arial" w:eastAsia="Times New Roman" w:hAnsi="Arial" w:cs="Arial"/>
                <w:color w:val="000000" w:themeColor="text1"/>
                <w:lang w:eastAsia="es-ES"/>
              </w:rPr>
              <w:t xml:space="preserve"> </w:t>
            </w:r>
            <w:r w:rsidR="00287A41" w:rsidRPr="00287A41">
              <w:rPr>
                <w:rFonts w:ascii="Arial" w:eastAsia="Times New Roman" w:hAnsi="Arial" w:cs="Arial"/>
                <w:i/>
                <w:color w:val="000000" w:themeColor="text1"/>
                <w:lang w:eastAsia="es-ES"/>
              </w:rPr>
              <w:t>et al</w:t>
            </w:r>
            <w:r w:rsidR="00287A41">
              <w:rPr>
                <w:rFonts w:ascii="Arial" w:eastAsia="Times New Roman" w:hAnsi="Arial" w:cs="Arial"/>
                <w:color w:val="000000" w:themeColor="text1"/>
                <w:lang w:eastAsia="es-ES"/>
              </w:rPr>
              <w:t>., 2017)</w:t>
            </w:r>
            <w:r w:rsidRPr="00E96356">
              <w:rPr>
                <w:rFonts w:ascii="Arial" w:eastAsia="Times New Roman" w:hAnsi="Arial" w:cs="Arial"/>
                <w:color w:val="000000" w:themeColor="text1"/>
                <w:lang w:eastAsia="es-ES"/>
              </w:rPr>
              <w:t>.</w:t>
            </w:r>
          </w:p>
          <w:p w14:paraId="566C7927" w14:textId="7317AD77" w:rsidR="00BF05C5" w:rsidRDefault="00E96356" w:rsidP="00287A41">
            <w:pPr>
              <w:spacing w:line="360" w:lineRule="auto"/>
              <w:jc w:val="both"/>
              <w:rPr>
                <w:rFonts w:ascii="Arial" w:hAnsi="Arial" w:cs="Arial"/>
              </w:rPr>
            </w:pPr>
            <w:r w:rsidRPr="00E96356">
              <w:rPr>
                <w:rFonts w:ascii="Arial" w:eastAsia="Times New Roman" w:hAnsi="Arial" w:cs="Arial"/>
                <w:color w:val="000000" w:themeColor="text1"/>
                <w:lang w:eastAsia="es-ES"/>
              </w:rPr>
              <w:t xml:space="preserve">Por último, </w:t>
            </w:r>
            <w:r w:rsidR="00246498">
              <w:rPr>
                <w:rFonts w:ascii="Arial" w:eastAsia="Times New Roman" w:hAnsi="Arial" w:cs="Arial"/>
                <w:color w:val="000000" w:themeColor="text1"/>
                <w:lang w:eastAsia="es-ES"/>
              </w:rPr>
              <w:t>varias amenazas vienen asociadas al</w:t>
            </w:r>
            <w:r w:rsidR="00246498" w:rsidRPr="00E96356">
              <w:rPr>
                <w:rFonts w:ascii="Arial" w:eastAsia="Times New Roman" w:hAnsi="Arial" w:cs="Arial"/>
                <w:color w:val="000000" w:themeColor="text1"/>
                <w:lang w:eastAsia="es-ES"/>
              </w:rPr>
              <w:t xml:space="preserve"> </w:t>
            </w:r>
            <w:r w:rsidRPr="00E96356">
              <w:rPr>
                <w:rFonts w:ascii="Arial" w:eastAsia="Times New Roman" w:hAnsi="Arial" w:cs="Arial"/>
                <w:color w:val="000000" w:themeColor="text1"/>
                <w:lang w:eastAsia="es-ES"/>
              </w:rPr>
              <w:t xml:space="preserve">uso </w:t>
            </w:r>
            <w:r w:rsidR="00246498">
              <w:rPr>
                <w:rFonts w:ascii="Arial" w:eastAsia="Times New Roman" w:hAnsi="Arial" w:cs="Arial"/>
                <w:color w:val="000000" w:themeColor="text1"/>
                <w:lang w:eastAsia="es-ES"/>
              </w:rPr>
              <w:t>recreacional</w:t>
            </w:r>
            <w:r w:rsidR="00246498" w:rsidRPr="00E96356">
              <w:rPr>
                <w:rFonts w:ascii="Arial" w:eastAsia="Times New Roman" w:hAnsi="Arial" w:cs="Arial"/>
                <w:color w:val="000000" w:themeColor="text1"/>
                <w:lang w:eastAsia="es-ES"/>
              </w:rPr>
              <w:t xml:space="preserve"> </w:t>
            </w:r>
            <w:r w:rsidRPr="00E96356">
              <w:rPr>
                <w:rFonts w:ascii="Arial" w:eastAsia="Times New Roman" w:hAnsi="Arial" w:cs="Arial"/>
                <w:color w:val="000000" w:themeColor="text1"/>
                <w:lang w:eastAsia="es-ES"/>
              </w:rPr>
              <w:t xml:space="preserve">en </w:t>
            </w:r>
            <w:r w:rsidR="00A247F9">
              <w:rPr>
                <w:rFonts w:ascii="Arial" w:eastAsia="Times New Roman" w:hAnsi="Arial" w:cs="Arial"/>
                <w:color w:val="000000" w:themeColor="text1"/>
                <w:lang w:eastAsia="es-ES"/>
              </w:rPr>
              <w:t>Gorrondatxe</w:t>
            </w:r>
            <w:r w:rsidRPr="00E96356">
              <w:rPr>
                <w:rFonts w:ascii="Arial" w:eastAsia="Times New Roman" w:hAnsi="Arial" w:cs="Arial"/>
                <w:color w:val="000000" w:themeColor="text1"/>
                <w:lang w:eastAsia="es-ES"/>
              </w:rPr>
              <w:t xml:space="preserve">. </w:t>
            </w:r>
            <w:r w:rsidR="00A247F9">
              <w:rPr>
                <w:rFonts w:ascii="Arial" w:hAnsi="Arial" w:cs="Arial"/>
              </w:rPr>
              <w:t>Las rocas que el sapo usa como</w:t>
            </w:r>
            <w:r w:rsidRPr="00E96356">
              <w:rPr>
                <w:rFonts w:ascii="Arial" w:hAnsi="Arial" w:cs="Arial"/>
              </w:rPr>
              <w:t xml:space="preserve"> refugio </w:t>
            </w:r>
            <w:r w:rsidR="00A247F9">
              <w:rPr>
                <w:rFonts w:ascii="Arial" w:hAnsi="Arial" w:cs="Arial"/>
              </w:rPr>
              <w:t>tanto para hibernar como para pasar las horas diurnas,</w:t>
            </w:r>
            <w:r w:rsidRPr="00E96356">
              <w:rPr>
                <w:rFonts w:ascii="Arial" w:hAnsi="Arial" w:cs="Arial"/>
              </w:rPr>
              <w:t xml:space="preserve"> son continuamente </w:t>
            </w:r>
            <w:r w:rsidR="00A247F9">
              <w:rPr>
                <w:rFonts w:ascii="Arial" w:hAnsi="Arial" w:cs="Arial"/>
              </w:rPr>
              <w:t>alteradas</w:t>
            </w:r>
            <w:r w:rsidR="009E51AD">
              <w:rPr>
                <w:rFonts w:ascii="Arial" w:hAnsi="Arial" w:cs="Arial"/>
              </w:rPr>
              <w:t xml:space="preserve"> (usuarios de la playa</w:t>
            </w:r>
            <w:r w:rsidRPr="00E96356">
              <w:rPr>
                <w:rFonts w:ascii="Arial" w:hAnsi="Arial" w:cs="Arial"/>
              </w:rPr>
              <w:t xml:space="preserve"> </w:t>
            </w:r>
            <w:r w:rsidR="00A247F9">
              <w:rPr>
                <w:rFonts w:ascii="Arial" w:hAnsi="Arial" w:cs="Arial"/>
              </w:rPr>
              <w:t xml:space="preserve">las </w:t>
            </w:r>
            <w:r w:rsidR="007F5364">
              <w:rPr>
                <w:rFonts w:ascii="Arial" w:hAnsi="Arial" w:cs="Arial"/>
              </w:rPr>
              <w:t>cambian de sitio</w:t>
            </w:r>
            <w:r w:rsidRPr="00E96356">
              <w:rPr>
                <w:rFonts w:ascii="Arial" w:hAnsi="Arial" w:cs="Arial"/>
              </w:rPr>
              <w:t xml:space="preserve"> y acumulan </w:t>
            </w:r>
            <w:r w:rsidR="009E51AD">
              <w:rPr>
                <w:rFonts w:ascii="Arial" w:hAnsi="Arial" w:cs="Arial"/>
              </w:rPr>
              <w:t>para librar espacios o para crear terrazas)</w:t>
            </w:r>
            <w:r w:rsidRPr="00E96356">
              <w:rPr>
                <w:rFonts w:ascii="Arial" w:hAnsi="Arial" w:cs="Arial"/>
              </w:rPr>
              <w:t xml:space="preserve">. Se dan acampadas nocturnas y hogueras durante la época activa de desplazamientos de la especie, los vehículos todoterreno (quads y motos) </w:t>
            </w:r>
            <w:r w:rsidR="009E51AD">
              <w:rPr>
                <w:rFonts w:ascii="Arial" w:hAnsi="Arial" w:cs="Arial"/>
              </w:rPr>
              <w:t xml:space="preserve">y bicicletas </w:t>
            </w:r>
            <w:r w:rsidRPr="00E96356">
              <w:rPr>
                <w:rFonts w:ascii="Arial" w:hAnsi="Arial" w:cs="Arial"/>
              </w:rPr>
              <w:t>circulan indiscriminadamente por el arenal</w:t>
            </w:r>
            <w:r w:rsidR="009E51AD">
              <w:rPr>
                <w:rFonts w:ascii="Arial" w:hAnsi="Arial" w:cs="Arial"/>
              </w:rPr>
              <w:t>, incluyendo las dunas y el propio humedal</w:t>
            </w:r>
            <w:r w:rsidRPr="00E96356">
              <w:rPr>
                <w:rFonts w:ascii="Arial" w:hAnsi="Arial" w:cs="Arial"/>
              </w:rPr>
              <w:t xml:space="preserve">, </w:t>
            </w:r>
            <w:r w:rsidR="00246498">
              <w:rPr>
                <w:rFonts w:ascii="Arial" w:hAnsi="Arial" w:cs="Arial"/>
              </w:rPr>
              <w:t xml:space="preserve">alterando </w:t>
            </w:r>
            <w:r w:rsidRPr="00E96356">
              <w:rPr>
                <w:rFonts w:ascii="Arial" w:hAnsi="Arial" w:cs="Arial"/>
              </w:rPr>
              <w:t xml:space="preserve">el hábitat </w:t>
            </w:r>
            <w:r w:rsidR="00246498">
              <w:rPr>
                <w:rFonts w:ascii="Arial" w:hAnsi="Arial" w:cs="Arial"/>
              </w:rPr>
              <w:t xml:space="preserve">tanto </w:t>
            </w:r>
            <w:r w:rsidRPr="00E96356">
              <w:rPr>
                <w:rFonts w:ascii="Arial" w:hAnsi="Arial" w:cs="Arial"/>
              </w:rPr>
              <w:t>reproductor</w:t>
            </w:r>
            <w:r w:rsidR="00246498">
              <w:rPr>
                <w:rFonts w:ascii="Arial" w:hAnsi="Arial" w:cs="Arial"/>
              </w:rPr>
              <w:t xml:space="preserve"> como terrestre del sapo</w:t>
            </w:r>
            <w:r w:rsidRPr="00E96356">
              <w:rPr>
                <w:rFonts w:ascii="Arial" w:hAnsi="Arial" w:cs="Arial"/>
              </w:rPr>
              <w:t xml:space="preserve">. </w:t>
            </w:r>
            <w:r w:rsidR="009E51AD">
              <w:rPr>
                <w:rFonts w:ascii="Arial" w:hAnsi="Arial" w:cs="Arial"/>
              </w:rPr>
              <w:t>El uso nocturno de la playa es especialmente peligroso para el sapo ya que coincide con sus horas de actividad:</w:t>
            </w:r>
            <w:r w:rsidR="009E51AD" w:rsidRPr="00E96356">
              <w:rPr>
                <w:rFonts w:ascii="Arial" w:hAnsi="Arial" w:cs="Arial"/>
              </w:rPr>
              <w:t xml:space="preserve"> acampadas nocturnas y hogueras</w:t>
            </w:r>
            <w:r w:rsidR="009E51AD">
              <w:rPr>
                <w:rFonts w:ascii="Arial" w:hAnsi="Arial" w:cs="Arial"/>
              </w:rPr>
              <w:t xml:space="preserve">, e incluso fiestas de verano puntuales en el chiringuito y, sobre todo, </w:t>
            </w:r>
            <w:r w:rsidRPr="00E96356">
              <w:rPr>
                <w:rFonts w:ascii="Arial" w:hAnsi="Arial" w:cs="Arial"/>
              </w:rPr>
              <w:t xml:space="preserve">el </w:t>
            </w:r>
            <w:r w:rsidR="009E51AD">
              <w:rPr>
                <w:rFonts w:ascii="Arial" w:hAnsi="Arial" w:cs="Arial"/>
              </w:rPr>
              <w:t>acceso</w:t>
            </w:r>
            <w:r w:rsidRPr="00E96356">
              <w:rPr>
                <w:rFonts w:ascii="Arial" w:hAnsi="Arial" w:cs="Arial"/>
              </w:rPr>
              <w:t xml:space="preserve"> ilegal de vehículos </w:t>
            </w:r>
            <w:r w:rsidR="009E51AD">
              <w:rPr>
                <w:rFonts w:ascii="Arial" w:hAnsi="Arial" w:cs="Arial"/>
              </w:rPr>
              <w:t>a la playa</w:t>
            </w:r>
            <w:r w:rsidRPr="00E96356">
              <w:rPr>
                <w:rFonts w:ascii="Arial" w:hAnsi="Arial" w:cs="Arial"/>
              </w:rPr>
              <w:t xml:space="preserve">. Todos estos factores alteran constantemente </w:t>
            </w:r>
            <w:r w:rsidR="00246498">
              <w:rPr>
                <w:rFonts w:ascii="Arial" w:hAnsi="Arial" w:cs="Arial"/>
              </w:rPr>
              <w:t>el</w:t>
            </w:r>
            <w:r w:rsidR="00246498" w:rsidRPr="00E96356">
              <w:rPr>
                <w:rFonts w:ascii="Arial" w:hAnsi="Arial" w:cs="Arial"/>
              </w:rPr>
              <w:t xml:space="preserve"> </w:t>
            </w:r>
            <w:r w:rsidRPr="00E96356">
              <w:rPr>
                <w:rFonts w:ascii="Arial" w:hAnsi="Arial" w:cs="Arial"/>
              </w:rPr>
              <w:t xml:space="preserve">hábitat </w:t>
            </w:r>
            <w:r w:rsidR="00246498">
              <w:rPr>
                <w:rFonts w:ascii="Arial" w:hAnsi="Arial" w:cs="Arial"/>
              </w:rPr>
              <w:t xml:space="preserve">o impactan </w:t>
            </w:r>
            <w:r w:rsidRPr="00E96356">
              <w:rPr>
                <w:rFonts w:ascii="Arial" w:hAnsi="Arial" w:cs="Arial"/>
              </w:rPr>
              <w:t>directamente a la población</w:t>
            </w:r>
            <w:r w:rsidR="00246498">
              <w:rPr>
                <w:rFonts w:ascii="Arial" w:hAnsi="Arial" w:cs="Arial"/>
              </w:rPr>
              <w:t xml:space="preserve"> como en el caso de los atropellos</w:t>
            </w:r>
            <w:r w:rsidR="00287A41">
              <w:rPr>
                <w:rFonts w:ascii="Arial" w:hAnsi="Arial" w:cs="Arial"/>
              </w:rPr>
              <w:t xml:space="preserve"> </w:t>
            </w:r>
            <w:r w:rsidR="00287A41">
              <w:rPr>
                <w:rFonts w:ascii="Arial" w:eastAsia="Times New Roman" w:hAnsi="Arial" w:cs="Arial"/>
                <w:color w:val="000000" w:themeColor="text1"/>
                <w:lang w:eastAsia="es-ES"/>
              </w:rPr>
              <w:t>(</w:t>
            </w:r>
            <w:r w:rsidR="00287A41" w:rsidRPr="00B776B9">
              <w:rPr>
                <w:rFonts w:ascii="Arial" w:eastAsia="Times New Roman" w:hAnsi="Arial" w:cs="Arial"/>
                <w:smallCaps/>
                <w:color w:val="000000" w:themeColor="text1"/>
                <w:lang w:eastAsia="es-ES"/>
              </w:rPr>
              <w:t>Laza-Martínez</w:t>
            </w:r>
            <w:r w:rsidR="00287A41">
              <w:rPr>
                <w:rFonts w:ascii="Arial" w:eastAsia="Times New Roman" w:hAnsi="Arial" w:cs="Arial"/>
                <w:color w:val="000000" w:themeColor="text1"/>
                <w:lang w:eastAsia="es-ES"/>
              </w:rPr>
              <w:t xml:space="preserve"> </w:t>
            </w:r>
            <w:r w:rsidR="00287A41" w:rsidRPr="00287A41">
              <w:rPr>
                <w:rFonts w:ascii="Arial" w:eastAsia="Times New Roman" w:hAnsi="Arial" w:cs="Arial"/>
                <w:i/>
                <w:color w:val="000000" w:themeColor="text1"/>
                <w:lang w:eastAsia="es-ES"/>
              </w:rPr>
              <w:t>et al</w:t>
            </w:r>
            <w:r w:rsidR="00287A41">
              <w:rPr>
                <w:rFonts w:ascii="Arial" w:eastAsia="Times New Roman" w:hAnsi="Arial" w:cs="Arial"/>
                <w:color w:val="000000" w:themeColor="text1"/>
                <w:lang w:eastAsia="es-ES"/>
              </w:rPr>
              <w:t>., 2017</w:t>
            </w:r>
            <w:r w:rsidR="00246498">
              <w:rPr>
                <w:rFonts w:ascii="Arial" w:eastAsia="Times New Roman" w:hAnsi="Arial" w:cs="Arial"/>
                <w:color w:val="000000" w:themeColor="text1"/>
                <w:lang w:eastAsia="es-ES"/>
              </w:rPr>
              <w:t>)</w:t>
            </w:r>
            <w:r w:rsidRPr="00E96356">
              <w:rPr>
                <w:rFonts w:ascii="Arial" w:hAnsi="Arial" w:cs="Arial"/>
              </w:rPr>
              <w:t>.</w:t>
            </w:r>
          </w:p>
          <w:p w14:paraId="415FC6A9" w14:textId="5CAC3B51" w:rsidR="00E638A9" w:rsidRPr="00E96356" w:rsidRDefault="00E638A9" w:rsidP="00287A41">
            <w:pPr>
              <w:spacing w:line="360" w:lineRule="auto"/>
              <w:jc w:val="both"/>
              <w:rPr>
                <w:rFonts w:ascii="Arial" w:hAnsi="Arial" w:cs="Arial"/>
              </w:rPr>
            </w:pPr>
          </w:p>
        </w:tc>
      </w:tr>
      <w:tr w:rsidR="004E0837" w:rsidRPr="004E0837" w14:paraId="5AA7D156" w14:textId="77777777" w:rsidTr="001A1482">
        <w:tc>
          <w:tcPr>
            <w:tcW w:w="1951" w:type="dxa"/>
            <w:shd w:val="clear" w:color="auto" w:fill="BFBFBF" w:themeFill="background1" w:themeFillShade="BF"/>
          </w:tcPr>
          <w:p w14:paraId="63146039" w14:textId="77777777" w:rsidR="00BF05C5" w:rsidRDefault="00BF05C5" w:rsidP="008C3364">
            <w:pPr>
              <w:spacing w:line="360" w:lineRule="auto"/>
              <w:jc w:val="center"/>
              <w:rPr>
                <w:rFonts w:ascii="Arial" w:hAnsi="Arial" w:cs="Arial"/>
                <w:b/>
              </w:rPr>
            </w:pPr>
          </w:p>
          <w:p w14:paraId="1FBC4586" w14:textId="77777777" w:rsidR="003E2C9F" w:rsidRPr="004E0837" w:rsidRDefault="009A6413" w:rsidP="008C3364">
            <w:pPr>
              <w:spacing w:line="360" w:lineRule="auto"/>
              <w:jc w:val="center"/>
              <w:rPr>
                <w:rFonts w:ascii="Arial" w:hAnsi="Arial" w:cs="Arial"/>
                <w:b/>
              </w:rPr>
            </w:pPr>
            <w:r w:rsidRPr="004E0837">
              <w:rPr>
                <w:rFonts w:ascii="Arial" w:hAnsi="Arial" w:cs="Arial"/>
                <w:b/>
              </w:rPr>
              <w:t>Medidas de conservación</w:t>
            </w:r>
          </w:p>
        </w:tc>
        <w:tc>
          <w:tcPr>
            <w:tcW w:w="6769" w:type="dxa"/>
          </w:tcPr>
          <w:p w14:paraId="14C3DEDA" w14:textId="77777777" w:rsidR="00BF05C5" w:rsidRDefault="00BF05C5" w:rsidP="00E2732F">
            <w:pPr>
              <w:spacing w:line="360" w:lineRule="auto"/>
              <w:jc w:val="both"/>
              <w:rPr>
                <w:rFonts w:ascii="Arial" w:hAnsi="Arial" w:cs="Arial"/>
              </w:rPr>
            </w:pPr>
          </w:p>
          <w:p w14:paraId="164788CB" w14:textId="77777777" w:rsidR="003E2C9F" w:rsidRDefault="00287A41" w:rsidP="00E2732F">
            <w:pPr>
              <w:spacing w:line="360" w:lineRule="auto"/>
              <w:jc w:val="both"/>
              <w:rPr>
                <w:rFonts w:ascii="Arial" w:hAnsi="Arial" w:cs="Arial"/>
              </w:rPr>
            </w:pPr>
            <w:r>
              <w:rPr>
                <w:rFonts w:ascii="Arial" w:hAnsi="Arial" w:cs="Arial"/>
              </w:rPr>
              <w:t>De forma puntual se han realizado actuaciones de gestión para favorecer a la especie en ambos enclaves</w:t>
            </w:r>
            <w:r w:rsidR="00AF689B">
              <w:rPr>
                <w:rFonts w:ascii="Arial" w:hAnsi="Arial" w:cs="Arial"/>
              </w:rPr>
              <w:t>, sobre todo dirigidas a la creación de charcas</w:t>
            </w:r>
            <w:r>
              <w:rPr>
                <w:rFonts w:ascii="Arial" w:hAnsi="Arial" w:cs="Arial"/>
              </w:rPr>
              <w:t>.</w:t>
            </w:r>
          </w:p>
          <w:p w14:paraId="29B13BED" w14:textId="78E7BABC" w:rsidR="00AF689B" w:rsidRPr="007F5364" w:rsidRDefault="00287A41" w:rsidP="007F5364">
            <w:pPr>
              <w:pStyle w:val="Prrafodelista"/>
              <w:numPr>
                <w:ilvl w:val="0"/>
                <w:numId w:val="2"/>
              </w:numPr>
              <w:spacing w:line="360" w:lineRule="auto"/>
              <w:jc w:val="both"/>
              <w:rPr>
                <w:rFonts w:ascii="Arial" w:hAnsi="Arial" w:cs="Arial"/>
              </w:rPr>
            </w:pPr>
            <w:r w:rsidRPr="007F5364">
              <w:rPr>
                <w:rFonts w:ascii="Arial" w:hAnsi="Arial" w:cs="Arial"/>
                <w:b/>
              </w:rPr>
              <w:t>Población de Txingudi</w:t>
            </w:r>
            <w:r w:rsidR="007F5364" w:rsidRPr="007F5364">
              <w:rPr>
                <w:rFonts w:ascii="Arial" w:hAnsi="Arial" w:cs="Arial"/>
                <w:b/>
              </w:rPr>
              <w:t xml:space="preserve">: </w:t>
            </w:r>
            <w:r w:rsidR="00AF689B" w:rsidRPr="007F5364">
              <w:rPr>
                <w:rFonts w:ascii="Arial" w:hAnsi="Arial" w:cs="Arial"/>
              </w:rPr>
              <w:t>Se han creado charcas en casi todos los núcleos reproductores</w:t>
            </w:r>
            <w:r w:rsidR="00E80E28" w:rsidRPr="007F5364">
              <w:rPr>
                <w:rFonts w:ascii="Arial" w:hAnsi="Arial" w:cs="Arial"/>
              </w:rPr>
              <w:t>.</w:t>
            </w:r>
            <w:r w:rsidR="00AF689B" w:rsidRPr="007F5364">
              <w:rPr>
                <w:rFonts w:ascii="Arial" w:hAnsi="Arial" w:cs="Arial"/>
              </w:rPr>
              <w:t xml:space="preserve"> </w:t>
            </w:r>
            <w:r w:rsidR="00E80E28" w:rsidRPr="007F5364">
              <w:rPr>
                <w:rFonts w:ascii="Arial" w:hAnsi="Arial" w:cs="Arial"/>
              </w:rPr>
              <w:t>C</w:t>
            </w:r>
            <w:r w:rsidR="00AF689B" w:rsidRPr="007F5364">
              <w:rPr>
                <w:rFonts w:ascii="Arial" w:hAnsi="Arial" w:cs="Arial"/>
              </w:rPr>
              <w:t xml:space="preserve">abe destacar la creación de charcas impermeabilizadas con cemento, que si bien no son las más elegidas por la especie siempre suelen depositar alguna puesta y con ello se consigue que una parte de las puestas consiga completar el ciclo acuático. En lo referente al hábitat terrestre, </w:t>
            </w:r>
            <w:r w:rsidR="00E80E28" w:rsidRPr="007F5364">
              <w:rPr>
                <w:rFonts w:ascii="Arial" w:hAnsi="Arial" w:cs="Arial"/>
              </w:rPr>
              <w:t xml:space="preserve">se </w:t>
            </w:r>
            <w:r w:rsidR="00AF689B" w:rsidRPr="007F5364">
              <w:rPr>
                <w:rFonts w:ascii="Arial" w:hAnsi="Arial" w:cs="Arial"/>
              </w:rPr>
              <w:t xml:space="preserve">están realizando pruebas en el Parque Ecológico de Plaiaundi </w:t>
            </w:r>
            <w:r w:rsidR="00E80E28" w:rsidRPr="007F5364">
              <w:rPr>
                <w:rFonts w:ascii="Arial" w:hAnsi="Arial" w:cs="Arial"/>
              </w:rPr>
              <w:t>cuya eficacia está por</w:t>
            </w:r>
            <w:r w:rsidR="00AF689B" w:rsidRPr="007F5364">
              <w:rPr>
                <w:rFonts w:ascii="Arial" w:hAnsi="Arial" w:cs="Arial"/>
              </w:rPr>
              <w:t xml:space="preserve"> evaluar. </w:t>
            </w:r>
            <w:r w:rsidR="00E80E28" w:rsidRPr="007F5364">
              <w:rPr>
                <w:rFonts w:ascii="Arial" w:hAnsi="Arial" w:cs="Arial"/>
              </w:rPr>
              <w:t>Concretamente, se está probando e</w:t>
            </w:r>
            <w:r w:rsidR="00AF689B" w:rsidRPr="007F5364">
              <w:rPr>
                <w:rFonts w:ascii="Arial" w:hAnsi="Arial" w:cs="Arial"/>
              </w:rPr>
              <w:t>l uso de</w:t>
            </w:r>
            <w:r w:rsidR="00E80E28" w:rsidRPr="007F5364">
              <w:rPr>
                <w:rFonts w:ascii="Arial" w:hAnsi="Arial" w:cs="Arial"/>
              </w:rPr>
              <w:t>l</w:t>
            </w:r>
            <w:r w:rsidR="00AF689B" w:rsidRPr="007F5364">
              <w:rPr>
                <w:rFonts w:ascii="Arial" w:hAnsi="Arial" w:cs="Arial"/>
              </w:rPr>
              <w:t xml:space="preserve"> ecopastoreo como medida </w:t>
            </w:r>
            <w:r w:rsidR="00E80E28" w:rsidRPr="007F5364">
              <w:rPr>
                <w:rFonts w:ascii="Arial" w:hAnsi="Arial" w:cs="Arial"/>
              </w:rPr>
              <w:t>para mantener la vegetación en forma de pasto, estado que favorece</w:t>
            </w:r>
            <w:r w:rsidR="00AF689B" w:rsidRPr="007F5364">
              <w:rPr>
                <w:rFonts w:ascii="Arial" w:hAnsi="Arial" w:cs="Arial"/>
              </w:rPr>
              <w:t xml:space="preserve"> </w:t>
            </w:r>
            <w:r w:rsidR="00E80E28" w:rsidRPr="007F5364">
              <w:rPr>
                <w:rFonts w:ascii="Arial" w:hAnsi="Arial" w:cs="Arial"/>
              </w:rPr>
              <w:t>a</w:t>
            </w:r>
            <w:r w:rsidR="00AF689B" w:rsidRPr="007F5364">
              <w:rPr>
                <w:rFonts w:ascii="Arial" w:hAnsi="Arial" w:cs="Arial"/>
              </w:rPr>
              <w:t xml:space="preserve"> la especie. </w:t>
            </w:r>
            <w:r w:rsidR="00E80E28" w:rsidRPr="007F5364">
              <w:rPr>
                <w:rFonts w:ascii="Arial" w:hAnsi="Arial" w:cs="Arial"/>
              </w:rPr>
              <w:t>Sin embargo, no se han realizado actuaciones e</w:t>
            </w:r>
            <w:r w:rsidR="00AF689B" w:rsidRPr="007F5364">
              <w:rPr>
                <w:rFonts w:ascii="Arial" w:hAnsi="Arial" w:cs="Arial"/>
              </w:rPr>
              <w:t>n lo referente a</w:t>
            </w:r>
            <w:r w:rsidR="00E80E28" w:rsidRPr="007F5364">
              <w:rPr>
                <w:rFonts w:ascii="Arial" w:hAnsi="Arial" w:cs="Arial"/>
              </w:rPr>
              <w:t>l control o eliminación de</w:t>
            </w:r>
            <w:r w:rsidR="00AF689B" w:rsidRPr="007F5364">
              <w:rPr>
                <w:rFonts w:ascii="Arial" w:hAnsi="Arial" w:cs="Arial"/>
              </w:rPr>
              <w:t xml:space="preserve"> las Especies Exóticas Invasoras</w:t>
            </w:r>
            <w:r w:rsidR="00E80E28" w:rsidRPr="007F5364">
              <w:rPr>
                <w:rFonts w:ascii="Arial" w:hAnsi="Arial" w:cs="Arial"/>
              </w:rPr>
              <w:t>,</w:t>
            </w:r>
            <w:r w:rsidR="00AF689B" w:rsidRPr="007F5364">
              <w:rPr>
                <w:rFonts w:ascii="Arial" w:hAnsi="Arial" w:cs="Arial"/>
              </w:rPr>
              <w:t xml:space="preserve"> </w:t>
            </w:r>
            <w:r w:rsidR="00E80E28" w:rsidRPr="007F5364">
              <w:rPr>
                <w:rFonts w:ascii="Arial" w:hAnsi="Arial" w:cs="Arial"/>
              </w:rPr>
              <w:t xml:space="preserve">ni para la </w:t>
            </w:r>
            <w:r w:rsidR="00AF689B" w:rsidRPr="007F5364">
              <w:rPr>
                <w:rFonts w:ascii="Arial" w:hAnsi="Arial" w:cs="Arial"/>
              </w:rPr>
              <w:t>intercone</w:t>
            </w:r>
            <w:r w:rsidR="00E80E28" w:rsidRPr="007F5364">
              <w:rPr>
                <w:rFonts w:ascii="Arial" w:hAnsi="Arial" w:cs="Arial"/>
              </w:rPr>
              <w:t>xión</w:t>
            </w:r>
            <w:r w:rsidR="00AF689B" w:rsidRPr="007F5364">
              <w:rPr>
                <w:rFonts w:ascii="Arial" w:hAnsi="Arial" w:cs="Arial"/>
              </w:rPr>
              <w:t xml:space="preserve"> </w:t>
            </w:r>
            <w:r w:rsidR="005A22D7" w:rsidRPr="007F5364">
              <w:rPr>
                <w:rFonts w:ascii="Arial" w:hAnsi="Arial" w:cs="Arial"/>
              </w:rPr>
              <w:t xml:space="preserve">entre </w:t>
            </w:r>
            <w:r w:rsidR="00AF689B" w:rsidRPr="007F5364">
              <w:rPr>
                <w:rFonts w:ascii="Arial" w:hAnsi="Arial" w:cs="Arial"/>
              </w:rPr>
              <w:t xml:space="preserve">los distintos núcleos poblacionales, </w:t>
            </w:r>
            <w:r w:rsidR="00E80E28" w:rsidRPr="007F5364">
              <w:rPr>
                <w:rFonts w:ascii="Arial" w:hAnsi="Arial" w:cs="Arial"/>
              </w:rPr>
              <w:t xml:space="preserve">de manera que </w:t>
            </w:r>
            <w:r w:rsidR="00AF689B" w:rsidRPr="007F5364">
              <w:rPr>
                <w:rFonts w:ascii="Arial" w:hAnsi="Arial" w:cs="Arial"/>
              </w:rPr>
              <w:t>el aislamiento entre núcleos aumenta con el paso del tiempo.</w:t>
            </w:r>
          </w:p>
          <w:p w14:paraId="42ABABD8" w14:textId="7EB20C98" w:rsidR="00AF689B" w:rsidRPr="007F5364" w:rsidRDefault="00287A41" w:rsidP="007F5364">
            <w:pPr>
              <w:pStyle w:val="Prrafodelista"/>
              <w:numPr>
                <w:ilvl w:val="0"/>
                <w:numId w:val="2"/>
              </w:numPr>
              <w:spacing w:line="360" w:lineRule="auto"/>
              <w:jc w:val="both"/>
              <w:rPr>
                <w:rFonts w:ascii="Arial" w:hAnsi="Arial" w:cs="Arial"/>
              </w:rPr>
            </w:pPr>
            <w:r w:rsidRPr="007F5364">
              <w:rPr>
                <w:rFonts w:ascii="Arial" w:hAnsi="Arial" w:cs="Arial"/>
                <w:b/>
              </w:rPr>
              <w:t xml:space="preserve">Población del arenal de </w:t>
            </w:r>
            <w:r w:rsidR="005A22D7" w:rsidRPr="007F5364">
              <w:rPr>
                <w:rFonts w:ascii="Arial" w:hAnsi="Arial" w:cs="Arial"/>
                <w:b/>
              </w:rPr>
              <w:t>Gorrondatxe</w:t>
            </w:r>
            <w:r w:rsidR="007F5364" w:rsidRPr="007F5364">
              <w:rPr>
                <w:rFonts w:ascii="Arial" w:hAnsi="Arial" w:cs="Arial"/>
                <w:b/>
              </w:rPr>
              <w:t xml:space="preserve">: </w:t>
            </w:r>
            <w:bookmarkStart w:id="0" w:name="_GoBack"/>
            <w:bookmarkEnd w:id="0"/>
            <w:r w:rsidR="00AF689B" w:rsidRPr="007F5364">
              <w:rPr>
                <w:rFonts w:ascii="Arial" w:hAnsi="Arial" w:cs="Arial"/>
              </w:rPr>
              <w:t xml:space="preserve">En lo referente al arenal de </w:t>
            </w:r>
            <w:r w:rsidR="005A22D7" w:rsidRPr="007F5364">
              <w:rPr>
                <w:rFonts w:ascii="Arial" w:hAnsi="Arial" w:cs="Arial"/>
              </w:rPr>
              <w:t xml:space="preserve">Gorrondatxe </w:t>
            </w:r>
            <w:r w:rsidR="00AF689B" w:rsidRPr="007F5364">
              <w:rPr>
                <w:rFonts w:ascii="Arial" w:hAnsi="Arial" w:cs="Arial"/>
              </w:rPr>
              <w:t xml:space="preserve">se han </w:t>
            </w:r>
            <w:r w:rsidR="00A3039D" w:rsidRPr="007F5364">
              <w:rPr>
                <w:rFonts w:ascii="Arial" w:hAnsi="Arial" w:cs="Arial"/>
              </w:rPr>
              <w:t>creado nuevos encharcamientos en el arenal (dos charcas) y fuera de él (cuatro charcas). A su vez</w:t>
            </w:r>
            <w:r w:rsidR="005A22D7" w:rsidRPr="007F5364">
              <w:rPr>
                <w:rFonts w:ascii="Arial" w:hAnsi="Arial" w:cs="Arial"/>
              </w:rPr>
              <w:t>,</w:t>
            </w:r>
            <w:r w:rsidR="00A3039D" w:rsidRPr="007F5364">
              <w:rPr>
                <w:rFonts w:ascii="Arial" w:hAnsi="Arial" w:cs="Arial"/>
              </w:rPr>
              <w:t xml:space="preserve"> el ayuntamiento de Getxo ha realizado labores de desbroce y mantenimiento en el principal encharcamiento </w:t>
            </w:r>
            <w:r w:rsidR="005A22D7" w:rsidRPr="007F5364">
              <w:rPr>
                <w:rFonts w:ascii="Arial" w:hAnsi="Arial" w:cs="Arial"/>
              </w:rPr>
              <w:t>de Gorrondatxe</w:t>
            </w:r>
            <w:r w:rsidR="00627B6B" w:rsidRPr="007F5364">
              <w:rPr>
                <w:rFonts w:ascii="Arial" w:hAnsi="Arial" w:cs="Arial"/>
              </w:rPr>
              <w:t xml:space="preserve">, reduciendo la superficie ocupada por plantas exóticas invasoras. Dada la precaria situación, y el bajo número de efectivos, de forma puntual se han manejado </w:t>
            </w:r>
            <w:r w:rsidR="00E36FE5" w:rsidRPr="007F5364">
              <w:rPr>
                <w:rFonts w:ascii="Arial" w:hAnsi="Arial" w:cs="Arial"/>
              </w:rPr>
              <w:t>las puestas depositándolas en zonas de las charcas que presentaban menor riesgo de desecación.</w:t>
            </w:r>
          </w:p>
          <w:p w14:paraId="4EEC4F37" w14:textId="77777777" w:rsidR="00BF05C5" w:rsidRPr="00AF689B" w:rsidRDefault="00BF05C5" w:rsidP="00627B6B">
            <w:pPr>
              <w:spacing w:line="360" w:lineRule="auto"/>
              <w:jc w:val="both"/>
              <w:rPr>
                <w:rFonts w:ascii="Arial" w:hAnsi="Arial" w:cs="Arial"/>
              </w:rPr>
            </w:pPr>
          </w:p>
        </w:tc>
      </w:tr>
      <w:tr w:rsidR="004E0837" w:rsidRPr="004E0837" w14:paraId="53ED8357" w14:textId="77777777" w:rsidTr="001A1482">
        <w:tc>
          <w:tcPr>
            <w:tcW w:w="1951" w:type="dxa"/>
            <w:shd w:val="clear" w:color="auto" w:fill="BFBFBF" w:themeFill="background1" w:themeFillShade="BF"/>
          </w:tcPr>
          <w:p w14:paraId="7316C0B5" w14:textId="77777777" w:rsidR="003E2C9F" w:rsidRPr="004E0837" w:rsidRDefault="009A6413" w:rsidP="008C3364">
            <w:pPr>
              <w:spacing w:line="360" w:lineRule="auto"/>
              <w:jc w:val="center"/>
              <w:rPr>
                <w:rFonts w:ascii="Arial" w:hAnsi="Arial" w:cs="Arial"/>
                <w:b/>
              </w:rPr>
            </w:pPr>
            <w:r w:rsidRPr="004E0837">
              <w:rPr>
                <w:rFonts w:ascii="Arial" w:hAnsi="Arial" w:cs="Arial"/>
                <w:b/>
              </w:rPr>
              <w:t>Otra información de interés</w:t>
            </w:r>
          </w:p>
        </w:tc>
        <w:tc>
          <w:tcPr>
            <w:tcW w:w="6769" w:type="dxa"/>
          </w:tcPr>
          <w:p w14:paraId="4AEBD23E" w14:textId="77777777" w:rsidR="003E2C9F" w:rsidRPr="004E0837" w:rsidRDefault="003E2C9F" w:rsidP="00821637">
            <w:pPr>
              <w:spacing w:line="360" w:lineRule="auto"/>
              <w:jc w:val="both"/>
              <w:rPr>
                <w:rFonts w:ascii="Arial" w:hAnsi="Arial" w:cs="Arial"/>
              </w:rPr>
            </w:pPr>
          </w:p>
        </w:tc>
      </w:tr>
      <w:tr w:rsidR="004E0837" w:rsidRPr="004E0837" w14:paraId="332F94EB" w14:textId="77777777" w:rsidTr="001A1482">
        <w:tc>
          <w:tcPr>
            <w:tcW w:w="1951" w:type="dxa"/>
            <w:shd w:val="clear" w:color="auto" w:fill="BFBFBF" w:themeFill="background1" w:themeFillShade="BF"/>
          </w:tcPr>
          <w:p w14:paraId="59D4933F" w14:textId="77777777" w:rsidR="00BF05C5" w:rsidRPr="00BF05C5" w:rsidRDefault="00BF05C5" w:rsidP="00BF05C5">
            <w:pPr>
              <w:spacing w:line="360" w:lineRule="auto"/>
              <w:ind w:left="404"/>
              <w:jc w:val="center"/>
              <w:rPr>
                <w:rFonts w:ascii="Arial" w:hAnsi="Arial" w:cs="Arial"/>
                <w:b/>
              </w:rPr>
            </w:pPr>
          </w:p>
          <w:p w14:paraId="4B21AE47" w14:textId="77777777" w:rsidR="003E2C9F" w:rsidRPr="00BF05C5" w:rsidRDefault="009A6413" w:rsidP="00BF05C5">
            <w:pPr>
              <w:spacing w:line="360" w:lineRule="auto"/>
              <w:ind w:left="404"/>
              <w:jc w:val="center"/>
              <w:rPr>
                <w:rFonts w:ascii="Arial" w:hAnsi="Arial" w:cs="Arial"/>
                <w:b/>
              </w:rPr>
            </w:pPr>
            <w:r w:rsidRPr="00BF05C5">
              <w:rPr>
                <w:rFonts w:ascii="Arial" w:hAnsi="Arial" w:cs="Arial"/>
                <w:b/>
              </w:rPr>
              <w:t>Referencias bibliográficas</w:t>
            </w:r>
          </w:p>
        </w:tc>
        <w:tc>
          <w:tcPr>
            <w:tcW w:w="6769" w:type="dxa"/>
          </w:tcPr>
          <w:p w14:paraId="51E63957" w14:textId="77777777" w:rsidR="00B776B9" w:rsidRDefault="00B776B9" w:rsidP="00B776B9">
            <w:pPr>
              <w:spacing w:line="360" w:lineRule="auto"/>
              <w:jc w:val="both"/>
              <w:rPr>
                <w:rFonts w:ascii="Arial" w:eastAsia="Times New Roman" w:hAnsi="Arial" w:cs="Arial"/>
                <w:lang w:val="es-ES_tradnl" w:eastAsia="es-ES"/>
              </w:rPr>
            </w:pPr>
            <w:r w:rsidRPr="0083047C">
              <w:rPr>
                <w:rFonts w:ascii="Arial" w:eastAsia="Times New Roman" w:hAnsi="Arial" w:cs="Arial"/>
                <w:smallCaps/>
                <w:lang w:val="es-ES_tradnl" w:eastAsia="es-ES"/>
              </w:rPr>
              <w:t>Bea, A. 1983</w:t>
            </w:r>
            <w:r w:rsidRPr="00BF05C5">
              <w:rPr>
                <w:rFonts w:ascii="Arial" w:eastAsia="Times New Roman" w:hAnsi="Arial" w:cs="Arial"/>
                <w:lang w:val="es-ES_tradnl" w:eastAsia="es-ES"/>
              </w:rPr>
              <w:t xml:space="preserve">. Nuevas citas para la herpetofauna del País Vasco. </w:t>
            </w:r>
            <w:r w:rsidRPr="005748E7">
              <w:rPr>
                <w:rFonts w:ascii="Arial" w:eastAsia="Times New Roman" w:hAnsi="Arial" w:cs="Arial"/>
                <w:i/>
                <w:lang w:val="es-ES_tradnl" w:eastAsia="es-ES"/>
              </w:rPr>
              <w:t>Munibe</w:t>
            </w:r>
            <w:r w:rsidRPr="005748E7">
              <w:rPr>
                <w:rFonts w:ascii="Arial" w:eastAsia="Times New Roman" w:hAnsi="Arial" w:cs="Arial"/>
                <w:lang w:val="es-ES_tradnl" w:eastAsia="es-ES"/>
              </w:rPr>
              <w:t>, 35(1-2):89-91.</w:t>
            </w:r>
          </w:p>
          <w:p w14:paraId="0832978D" w14:textId="77777777" w:rsidR="00B776B9" w:rsidRDefault="00B776B9" w:rsidP="00B776B9">
            <w:pPr>
              <w:spacing w:line="360" w:lineRule="auto"/>
              <w:jc w:val="both"/>
              <w:rPr>
                <w:rFonts w:ascii="Arial" w:eastAsia="Times New Roman" w:hAnsi="Arial" w:cs="Arial"/>
                <w:lang w:val="es-ES_tradnl" w:eastAsia="es-ES"/>
              </w:rPr>
            </w:pPr>
            <w:r w:rsidRPr="0083047C">
              <w:rPr>
                <w:rFonts w:ascii="Arial" w:eastAsia="Times New Roman" w:hAnsi="Arial" w:cs="Arial"/>
                <w:smallCaps/>
                <w:lang w:val="es-ES_tradnl" w:eastAsia="es-ES"/>
              </w:rPr>
              <w:t>Bea, 1985.</w:t>
            </w:r>
            <w:r w:rsidRPr="00B776B9">
              <w:rPr>
                <w:rFonts w:ascii="Arial" w:eastAsia="Times New Roman" w:hAnsi="Arial" w:cs="Arial"/>
                <w:lang w:val="es-ES_tradnl" w:eastAsia="es-ES"/>
              </w:rPr>
              <w:t xml:space="preserve"> Atlas de los anfibios y reptiles de Alava, Vizcaya y Guipuzcoa. En: </w:t>
            </w:r>
            <w:r w:rsidRPr="00B776B9">
              <w:rPr>
                <w:rFonts w:ascii="Arial" w:eastAsia="Times New Roman" w:hAnsi="Arial" w:cs="Arial"/>
                <w:i/>
                <w:lang w:val="es-ES_tradnl" w:eastAsia="es-ES"/>
              </w:rPr>
              <w:t>Atlas de los Vertebrados Continentales de Alava, Vizcaya y Guipuzcoa (excepto Chiroptera)</w:t>
            </w:r>
            <w:r w:rsidRPr="00B776B9">
              <w:rPr>
                <w:rFonts w:ascii="Arial" w:eastAsia="Times New Roman" w:hAnsi="Arial" w:cs="Arial"/>
                <w:lang w:val="es-ES_tradnl" w:eastAsia="es-ES"/>
              </w:rPr>
              <w:t>. J. Álvarez, A. Bea, J.M. Faus, I. Mendiola, E. Castién. Gobierno Vasco, pp. 55-99.</w:t>
            </w:r>
          </w:p>
          <w:p w14:paraId="17ECA0A4" w14:textId="1A70A822" w:rsidR="00B776B9" w:rsidRDefault="00B776B9" w:rsidP="00B776B9">
            <w:pPr>
              <w:spacing w:line="360" w:lineRule="auto"/>
              <w:jc w:val="both"/>
              <w:rPr>
                <w:rFonts w:ascii="Arial" w:hAnsi="Arial" w:cs="Arial"/>
                <w:lang w:val="en-US"/>
              </w:rPr>
            </w:pPr>
            <w:r w:rsidRPr="0083047C">
              <w:rPr>
                <w:rFonts w:ascii="Arial" w:hAnsi="Arial" w:cs="Arial"/>
                <w:smallCaps/>
                <w:lang w:val="en-US"/>
              </w:rPr>
              <w:t>Bécart E., Aubry A. &amp; Emmerson M. 2007</w:t>
            </w:r>
            <w:r w:rsidR="00E638A9">
              <w:rPr>
                <w:rFonts w:ascii="Arial" w:hAnsi="Arial" w:cs="Arial"/>
                <w:lang w:val="en-US"/>
              </w:rPr>
              <w:t>.</w:t>
            </w:r>
            <w:r w:rsidRPr="00BF05C5">
              <w:rPr>
                <w:rFonts w:ascii="Arial" w:hAnsi="Arial" w:cs="Arial"/>
                <w:lang w:val="en-US"/>
              </w:rPr>
              <w:t xml:space="preserve"> </w:t>
            </w:r>
            <w:r w:rsidRPr="00BF05C5">
              <w:rPr>
                <w:rFonts w:ascii="Arial" w:hAnsi="Arial" w:cs="Arial"/>
                <w:i/>
                <w:lang w:val="en-US"/>
              </w:rPr>
              <w:t>Monitoring the conservation status of natterjack toad</w:t>
            </w:r>
            <w:r w:rsidRPr="00BF05C5">
              <w:rPr>
                <w:rFonts w:ascii="Arial" w:hAnsi="Arial" w:cs="Arial"/>
                <w:lang w:val="en-US"/>
              </w:rPr>
              <w:t xml:space="preserve"> (Bufo calamita) </w:t>
            </w:r>
            <w:r w:rsidRPr="00BF05C5">
              <w:rPr>
                <w:rFonts w:ascii="Arial" w:hAnsi="Arial" w:cs="Arial"/>
                <w:i/>
                <w:lang w:val="en-US"/>
              </w:rPr>
              <w:t>in Ireland, 2004-2006</w:t>
            </w:r>
            <w:r w:rsidRPr="00BF05C5">
              <w:rPr>
                <w:rFonts w:ascii="Arial" w:hAnsi="Arial" w:cs="Arial"/>
                <w:lang w:val="en-US"/>
              </w:rPr>
              <w:t>. Irish Wildlife Manuals, No. 31. National Parks and Wildlife Service, Department of the Environment, Heritage and Local Government, Dublin, Ireland.</w:t>
            </w:r>
          </w:p>
          <w:p w14:paraId="6BDB71B1" w14:textId="77777777" w:rsidR="00B776B9" w:rsidRDefault="00B776B9" w:rsidP="00B776B9">
            <w:pPr>
              <w:spacing w:line="360" w:lineRule="auto"/>
              <w:jc w:val="both"/>
              <w:rPr>
                <w:rFonts w:ascii="Arial" w:eastAsia="Times New Roman" w:hAnsi="Arial" w:cs="Arial"/>
                <w:lang w:val="en-US" w:eastAsia="es-ES"/>
              </w:rPr>
            </w:pPr>
            <w:r w:rsidRPr="0083047C">
              <w:rPr>
                <w:rFonts w:ascii="Arial" w:eastAsia="Times New Roman" w:hAnsi="Arial" w:cs="Arial"/>
                <w:smallCaps/>
                <w:lang w:val="en-US" w:eastAsia="es-ES"/>
              </w:rPr>
              <w:t>Beebee TJC, Cabido C, Eggert C, Gómez-Mestre I, Iraola A, Garin-Barrio I, Griffiths RA, Miaud C, Oromí N, Sanuy D, Sinsch U, Tejedo M. 2012.</w:t>
            </w:r>
            <w:r w:rsidRPr="00BF05C5">
              <w:rPr>
                <w:rFonts w:ascii="Arial" w:eastAsia="Times New Roman" w:hAnsi="Arial" w:cs="Arial"/>
                <w:lang w:val="en-US" w:eastAsia="es-ES"/>
              </w:rPr>
              <w:t xml:space="preserve"> 40 Years of Natterjack Toad Conservation in Europe. </w:t>
            </w:r>
            <w:r w:rsidRPr="00BF05C5">
              <w:rPr>
                <w:rFonts w:ascii="Arial" w:eastAsia="Times New Roman" w:hAnsi="Arial" w:cs="Arial"/>
                <w:i/>
                <w:iCs/>
                <w:lang w:val="en-US" w:eastAsia="es-ES"/>
              </w:rPr>
              <w:t>Froglog</w:t>
            </w:r>
            <w:r w:rsidRPr="00BF05C5">
              <w:rPr>
                <w:rFonts w:ascii="Arial" w:eastAsia="Times New Roman" w:hAnsi="Arial" w:cs="Arial"/>
                <w:lang w:val="en-US" w:eastAsia="es-ES"/>
              </w:rPr>
              <w:t>, 101:40-43</w:t>
            </w:r>
            <w:r>
              <w:rPr>
                <w:rFonts w:ascii="Arial" w:eastAsia="Times New Roman" w:hAnsi="Arial" w:cs="Arial"/>
                <w:lang w:val="en-US" w:eastAsia="es-ES"/>
              </w:rPr>
              <w:t>.</w:t>
            </w:r>
          </w:p>
          <w:p w14:paraId="5CA58364" w14:textId="77777777" w:rsidR="00B776B9" w:rsidRDefault="00B776B9" w:rsidP="00B776B9">
            <w:pPr>
              <w:spacing w:line="360" w:lineRule="auto"/>
              <w:jc w:val="both"/>
              <w:rPr>
                <w:rFonts w:ascii="Arial" w:hAnsi="Arial" w:cs="Arial"/>
                <w:lang w:val="en-US"/>
              </w:rPr>
            </w:pPr>
            <w:r w:rsidRPr="0083047C">
              <w:rPr>
                <w:rFonts w:ascii="Arial" w:hAnsi="Arial" w:cs="Arial"/>
                <w:smallCaps/>
                <w:lang w:val="en-US"/>
              </w:rPr>
              <w:t>Beja, P., Kuzmin, S., Beebee, T., Denoel, M., Schmidt, B., Tarkhnishvili, D., Ananjeva, N.B., Orlov, N.L., Nyström, P., Ogrodowczyk, A., Ogielska, M., Bosch, J., Miaud, C., Tejedo, M., Lizana, M. &amp; Martinez Solano, I. 2009.</w:t>
            </w:r>
            <w:r w:rsidRPr="00BF05C5">
              <w:rPr>
                <w:rFonts w:ascii="Arial" w:hAnsi="Arial" w:cs="Arial"/>
                <w:lang w:val="en-US"/>
              </w:rPr>
              <w:t xml:space="preserve"> </w:t>
            </w:r>
            <w:r w:rsidRPr="00BF05C5">
              <w:rPr>
                <w:rFonts w:ascii="Arial" w:hAnsi="Arial" w:cs="Arial"/>
                <w:i/>
                <w:lang w:val="en-US"/>
              </w:rPr>
              <w:t>Epidalea calamita</w:t>
            </w:r>
            <w:r w:rsidRPr="00BF05C5">
              <w:rPr>
                <w:rFonts w:ascii="Arial" w:hAnsi="Arial" w:cs="Arial"/>
                <w:lang w:val="en-US"/>
              </w:rPr>
              <w:t xml:space="preserve"> (errata version published in 2016). The IUCN Red List of Threatened Species 2009: e.T54598A86640094. http://dx.doi.org/10.2305/IUCN.UK.2009.RLTS.T54598A11160828.en. Downloaded on 13 May 2019.</w:t>
            </w:r>
          </w:p>
          <w:p w14:paraId="54AE8957" w14:textId="77777777" w:rsidR="00B776B9" w:rsidRPr="00541789" w:rsidRDefault="00B776B9" w:rsidP="00B776B9">
            <w:pPr>
              <w:spacing w:line="360" w:lineRule="auto"/>
              <w:jc w:val="both"/>
              <w:rPr>
                <w:rFonts w:ascii="Arial" w:hAnsi="Arial" w:cs="Arial"/>
              </w:rPr>
            </w:pPr>
            <w:r w:rsidRPr="0083047C">
              <w:rPr>
                <w:rFonts w:ascii="Arial" w:hAnsi="Arial" w:cs="Arial"/>
                <w:smallCaps/>
                <w:lang w:val="en-US"/>
              </w:rPr>
              <w:t>Boomsma, J. J. &amp; Arntzen, J. W. 1985.</w:t>
            </w:r>
            <w:r w:rsidRPr="00BF05C5">
              <w:rPr>
                <w:rFonts w:ascii="Arial" w:hAnsi="Arial" w:cs="Arial"/>
                <w:lang w:val="en-US"/>
              </w:rPr>
              <w:t xml:space="preserve"> Abundance, growth and feeding of natterjack toads (</w:t>
            </w:r>
            <w:r w:rsidRPr="00BF05C5">
              <w:rPr>
                <w:rFonts w:ascii="Arial" w:hAnsi="Arial" w:cs="Arial"/>
                <w:i/>
                <w:lang w:val="en-US"/>
              </w:rPr>
              <w:t>Bufo calamita</w:t>
            </w:r>
            <w:r w:rsidRPr="00BF05C5">
              <w:rPr>
                <w:rFonts w:ascii="Arial" w:hAnsi="Arial" w:cs="Arial"/>
                <w:lang w:val="en-US"/>
              </w:rPr>
              <w:t xml:space="preserve">) in a 4-year-old artificial habitat. </w:t>
            </w:r>
            <w:r w:rsidRPr="00541789">
              <w:rPr>
                <w:rFonts w:ascii="Arial" w:hAnsi="Arial" w:cs="Arial"/>
              </w:rPr>
              <w:t>Journal of Applied Ecology, 22: 395-405.</w:t>
            </w:r>
          </w:p>
          <w:p w14:paraId="46D7ABAB" w14:textId="77777777" w:rsidR="00B776B9" w:rsidRDefault="00B776B9" w:rsidP="00B776B9">
            <w:pPr>
              <w:spacing w:line="360" w:lineRule="auto"/>
              <w:jc w:val="both"/>
              <w:rPr>
                <w:rFonts w:ascii="Arial" w:hAnsi="Arial" w:cs="Arial"/>
              </w:rPr>
            </w:pPr>
            <w:r w:rsidRPr="0083047C">
              <w:rPr>
                <w:rFonts w:ascii="Arial" w:hAnsi="Arial" w:cs="Arial"/>
                <w:smallCaps/>
              </w:rPr>
              <w:t>Cabido, C., Garin-Barrio, I., Gosá, A., Castro, A., Díaz, B. &amp; Mezquita, I., 2019.</w:t>
            </w:r>
            <w:r w:rsidRPr="00BF05C5">
              <w:rPr>
                <w:rFonts w:ascii="Arial" w:hAnsi="Arial" w:cs="Arial"/>
              </w:rPr>
              <w:t xml:space="preserve"> </w:t>
            </w:r>
            <w:r w:rsidRPr="00BF05C5">
              <w:rPr>
                <w:rFonts w:ascii="Arial" w:hAnsi="Arial" w:cs="Arial"/>
                <w:i/>
              </w:rPr>
              <w:t>Evaluación inicial de anfibios y odonatos en los humedales de la Comunidad Autónoma del País Vasco</w:t>
            </w:r>
            <w:r w:rsidRPr="00BF05C5">
              <w:rPr>
                <w:rFonts w:ascii="Arial" w:hAnsi="Arial" w:cs="Arial"/>
              </w:rPr>
              <w:t>. Informe inédito, Sociedad de Ciencias Aranzadi.</w:t>
            </w:r>
          </w:p>
          <w:p w14:paraId="5AE18986" w14:textId="77777777" w:rsidR="00B776B9" w:rsidRPr="00BF05C5" w:rsidRDefault="00B776B9" w:rsidP="00B776B9">
            <w:pPr>
              <w:spacing w:line="360" w:lineRule="auto"/>
              <w:jc w:val="both"/>
              <w:rPr>
                <w:rFonts w:ascii="Arial" w:hAnsi="Arial" w:cs="Arial"/>
              </w:rPr>
            </w:pPr>
            <w:r w:rsidRPr="0083047C">
              <w:rPr>
                <w:rFonts w:ascii="Arial" w:hAnsi="Arial" w:cs="Arial"/>
                <w:smallCaps/>
              </w:rPr>
              <w:t>Denton, J. S. &amp; Beebee, T. J. C. 1993.</w:t>
            </w:r>
            <w:r w:rsidRPr="00541789">
              <w:rPr>
                <w:rFonts w:ascii="Arial" w:hAnsi="Arial" w:cs="Arial"/>
              </w:rPr>
              <w:t xml:space="preserve"> </w:t>
            </w:r>
            <w:r w:rsidRPr="00BF05C5">
              <w:rPr>
                <w:rFonts w:ascii="Arial" w:hAnsi="Arial" w:cs="Arial"/>
                <w:lang w:val="en-US"/>
              </w:rPr>
              <w:t>Density-related features of natterjack toad (</w:t>
            </w:r>
            <w:r w:rsidRPr="00B776B9">
              <w:rPr>
                <w:rFonts w:ascii="Arial" w:hAnsi="Arial" w:cs="Arial"/>
                <w:i/>
                <w:lang w:val="en-US"/>
              </w:rPr>
              <w:t>Bufo calamita</w:t>
            </w:r>
            <w:r w:rsidRPr="00BF05C5">
              <w:rPr>
                <w:rFonts w:ascii="Arial" w:hAnsi="Arial" w:cs="Arial"/>
                <w:lang w:val="en-US"/>
              </w:rPr>
              <w:t xml:space="preserve">) populations in Britain. </w:t>
            </w:r>
            <w:r w:rsidRPr="00B776B9">
              <w:rPr>
                <w:rFonts w:ascii="Arial" w:hAnsi="Arial" w:cs="Arial"/>
                <w:i/>
              </w:rPr>
              <w:t>Journal of Zoology</w:t>
            </w:r>
            <w:r w:rsidRPr="00BF05C5">
              <w:rPr>
                <w:rFonts w:ascii="Arial" w:hAnsi="Arial" w:cs="Arial"/>
              </w:rPr>
              <w:t>, 229: 105-119.</w:t>
            </w:r>
          </w:p>
          <w:p w14:paraId="1965C1AF" w14:textId="77777777" w:rsidR="00B776B9" w:rsidRDefault="00B776B9" w:rsidP="00B776B9">
            <w:pPr>
              <w:spacing w:line="360" w:lineRule="auto"/>
              <w:jc w:val="both"/>
              <w:rPr>
                <w:rFonts w:ascii="Arial" w:eastAsia="Times New Roman" w:hAnsi="Arial" w:cs="Arial"/>
                <w:lang w:eastAsia="es-ES"/>
              </w:rPr>
            </w:pPr>
            <w:r w:rsidRPr="0083047C">
              <w:rPr>
                <w:rFonts w:ascii="Arial" w:eastAsia="Times New Roman" w:hAnsi="Arial" w:cs="Arial"/>
                <w:smallCaps/>
                <w:lang w:eastAsia="es-ES"/>
              </w:rPr>
              <w:t>Ekogarapen S.L., 2003.</w:t>
            </w:r>
            <w:r w:rsidRPr="00BF05C5">
              <w:rPr>
                <w:rFonts w:ascii="Arial" w:eastAsia="Times New Roman" w:hAnsi="Arial" w:cs="Arial"/>
                <w:lang w:eastAsia="es-ES"/>
              </w:rPr>
              <w:t xml:space="preserve"> </w:t>
            </w:r>
            <w:r w:rsidRPr="00BF05C5">
              <w:rPr>
                <w:rFonts w:ascii="Arial" w:eastAsia="Times New Roman" w:hAnsi="Arial" w:cs="Arial"/>
                <w:i/>
                <w:lang w:eastAsia="es-ES"/>
              </w:rPr>
              <w:t>Seguimiento de la población de sapo corredor (</w:t>
            </w:r>
            <w:r w:rsidRPr="00B776B9">
              <w:rPr>
                <w:rFonts w:ascii="Arial" w:eastAsia="Times New Roman" w:hAnsi="Arial" w:cs="Arial"/>
                <w:lang w:eastAsia="es-ES"/>
              </w:rPr>
              <w:t>Bufo calamita</w:t>
            </w:r>
            <w:r w:rsidRPr="00BF05C5">
              <w:rPr>
                <w:rFonts w:ascii="Arial" w:eastAsia="Times New Roman" w:hAnsi="Arial" w:cs="Arial"/>
                <w:i/>
                <w:lang w:eastAsia="es-ES"/>
              </w:rPr>
              <w:t>) en Txingudi. Informe anual 2002</w:t>
            </w:r>
            <w:r w:rsidRPr="00BF05C5">
              <w:rPr>
                <w:rFonts w:ascii="Arial" w:eastAsia="Times New Roman" w:hAnsi="Arial" w:cs="Arial"/>
                <w:lang w:eastAsia="es-ES"/>
              </w:rPr>
              <w:t>. Gobierno Vasco. Departamento de Ordenación del Territorio y Medio Ambiente. Informe inédito.</w:t>
            </w:r>
          </w:p>
          <w:p w14:paraId="6FC40E8B" w14:textId="77777777" w:rsidR="00B776B9" w:rsidRDefault="00B776B9" w:rsidP="00B776B9">
            <w:pPr>
              <w:spacing w:line="360" w:lineRule="auto"/>
              <w:jc w:val="both"/>
              <w:rPr>
                <w:rFonts w:ascii="Arial" w:eastAsia="Times New Roman" w:hAnsi="Arial" w:cs="Arial"/>
                <w:lang w:eastAsia="es-ES"/>
              </w:rPr>
            </w:pPr>
            <w:r w:rsidRPr="0083047C">
              <w:rPr>
                <w:rFonts w:ascii="Arial" w:eastAsia="Times New Roman" w:hAnsi="Arial" w:cs="Arial"/>
                <w:smallCaps/>
                <w:lang w:eastAsia="es-ES"/>
              </w:rPr>
              <w:t>Esporosín, K. 2017.</w:t>
            </w:r>
            <w:r w:rsidRPr="00BF05C5">
              <w:rPr>
                <w:rFonts w:ascii="Arial" w:eastAsia="Times New Roman" w:hAnsi="Arial" w:cs="Arial"/>
                <w:lang w:eastAsia="es-ES"/>
              </w:rPr>
              <w:t xml:space="preserve"> </w:t>
            </w:r>
            <w:r w:rsidRPr="00BF05C5">
              <w:rPr>
                <w:rFonts w:ascii="Arial" w:eastAsia="Times New Roman" w:hAnsi="Arial" w:cs="Arial"/>
                <w:i/>
                <w:lang w:eastAsia="es-ES"/>
              </w:rPr>
              <w:t>Txingudiko hezeguneen egokitasuna apo lasterkariaren ugalketarako: lehorketa arriskuaren eta gazitasunaren eragina</w:t>
            </w:r>
            <w:r w:rsidRPr="00BF05C5">
              <w:rPr>
                <w:rFonts w:ascii="Arial" w:eastAsia="Times New Roman" w:hAnsi="Arial" w:cs="Arial"/>
                <w:lang w:eastAsia="es-ES"/>
              </w:rPr>
              <w:t>. Gradu Amaierako Lanaren Txosten Teknikoa. Farmazi fakultatea. Vitoria-Gasteiz. Argitaragabeko txostena.</w:t>
            </w:r>
          </w:p>
          <w:p w14:paraId="4F6EDEA2" w14:textId="77777777" w:rsidR="00B776B9" w:rsidRDefault="00B776B9" w:rsidP="00B776B9">
            <w:pPr>
              <w:spacing w:line="360" w:lineRule="auto"/>
              <w:jc w:val="both"/>
              <w:rPr>
                <w:rFonts w:ascii="Arial" w:eastAsia="Times New Roman" w:hAnsi="Arial" w:cs="Arial"/>
                <w:lang w:val="es-ES_tradnl" w:eastAsia="es-ES"/>
              </w:rPr>
            </w:pPr>
            <w:r w:rsidRPr="0083047C">
              <w:rPr>
                <w:rFonts w:ascii="Arial" w:eastAsia="Times New Roman" w:hAnsi="Arial" w:cs="Arial"/>
                <w:smallCaps/>
                <w:lang w:val="es-ES_tradnl" w:eastAsia="es-ES"/>
              </w:rPr>
              <w:t>Garin-Barrio, I., San Sebastián, O., Océn-Ratón, M. &amp; Rubio, X. 2007.</w:t>
            </w:r>
            <w:r w:rsidRPr="00BF05C5">
              <w:rPr>
                <w:rFonts w:ascii="Arial" w:eastAsia="Times New Roman" w:hAnsi="Arial" w:cs="Arial"/>
                <w:lang w:val="es-ES_tradnl" w:eastAsia="es-ES"/>
              </w:rPr>
              <w:t xml:space="preserve"> Estado de conservación de las poblaciones de sapo corredor (</w:t>
            </w:r>
            <w:r w:rsidRPr="00BF05C5">
              <w:rPr>
                <w:rFonts w:ascii="Arial" w:eastAsia="Times New Roman" w:hAnsi="Arial" w:cs="Arial"/>
                <w:i/>
                <w:lang w:val="es-ES_tradnl" w:eastAsia="es-ES"/>
              </w:rPr>
              <w:t>Bufo calamita</w:t>
            </w:r>
            <w:r w:rsidRPr="00BF05C5">
              <w:rPr>
                <w:rFonts w:ascii="Arial" w:eastAsia="Times New Roman" w:hAnsi="Arial" w:cs="Arial"/>
                <w:lang w:val="es-ES_tradnl" w:eastAsia="es-ES"/>
              </w:rPr>
              <w:t xml:space="preserve">) en la costa vasca. </w:t>
            </w:r>
            <w:r w:rsidRPr="00BF05C5">
              <w:rPr>
                <w:rFonts w:ascii="Arial" w:eastAsia="Times New Roman" w:hAnsi="Arial" w:cs="Arial"/>
                <w:i/>
                <w:lang w:val="es-ES_tradnl" w:eastAsia="es-ES"/>
              </w:rPr>
              <w:t>Munibe suplemento</w:t>
            </w:r>
            <w:r w:rsidRPr="00BF05C5">
              <w:rPr>
                <w:rFonts w:ascii="Arial" w:eastAsia="Times New Roman" w:hAnsi="Arial" w:cs="Arial"/>
                <w:lang w:val="es-ES_tradnl" w:eastAsia="es-ES"/>
              </w:rPr>
              <w:t>. 26:292-301</w:t>
            </w:r>
            <w:r>
              <w:rPr>
                <w:rFonts w:ascii="Arial" w:eastAsia="Times New Roman" w:hAnsi="Arial" w:cs="Arial"/>
                <w:lang w:val="es-ES_tradnl" w:eastAsia="es-ES"/>
              </w:rPr>
              <w:t>.</w:t>
            </w:r>
          </w:p>
          <w:p w14:paraId="6B5FDBAB" w14:textId="77777777" w:rsidR="00B776B9" w:rsidRDefault="00B776B9" w:rsidP="00B776B9">
            <w:pPr>
              <w:spacing w:line="360" w:lineRule="auto"/>
              <w:jc w:val="both"/>
              <w:rPr>
                <w:rFonts w:ascii="Arial" w:eastAsia="Times New Roman" w:hAnsi="Arial" w:cs="Arial"/>
                <w:lang w:eastAsia="es-ES"/>
              </w:rPr>
            </w:pPr>
            <w:r w:rsidRPr="0083047C">
              <w:rPr>
                <w:rFonts w:ascii="Arial" w:eastAsia="Times New Roman" w:hAnsi="Arial" w:cs="Arial"/>
                <w:smallCaps/>
                <w:lang w:eastAsia="es-ES"/>
              </w:rPr>
              <w:t>Garin-Barrio, I., Laza, A., Océn, M., Rubio, X., San Sebastián, O. &amp; Gosá, A. 2011.</w:t>
            </w:r>
            <w:r w:rsidRPr="00BF05C5">
              <w:rPr>
                <w:rFonts w:ascii="Arial" w:eastAsia="Times New Roman" w:hAnsi="Arial" w:cs="Arial"/>
                <w:lang w:eastAsia="es-ES"/>
              </w:rPr>
              <w:t xml:space="preserve"> Sapo corredor en la costa vasca: conservación tardía e insuficiente. </w:t>
            </w:r>
            <w:r w:rsidRPr="00BF05C5">
              <w:rPr>
                <w:rFonts w:ascii="Arial" w:eastAsia="Times New Roman" w:hAnsi="Arial" w:cs="Arial"/>
                <w:i/>
                <w:iCs/>
                <w:lang w:eastAsia="es-ES"/>
              </w:rPr>
              <w:t>Quercus</w:t>
            </w:r>
            <w:r w:rsidRPr="00BF05C5">
              <w:rPr>
                <w:rFonts w:ascii="Arial" w:eastAsia="Times New Roman" w:hAnsi="Arial" w:cs="Arial"/>
                <w:lang w:eastAsia="es-ES"/>
              </w:rPr>
              <w:t>, 305:28-35</w:t>
            </w:r>
            <w:r>
              <w:rPr>
                <w:rFonts w:ascii="Arial" w:eastAsia="Times New Roman" w:hAnsi="Arial" w:cs="Arial"/>
                <w:lang w:eastAsia="es-ES"/>
              </w:rPr>
              <w:t>.</w:t>
            </w:r>
          </w:p>
          <w:p w14:paraId="577B21C3" w14:textId="77777777" w:rsidR="00B776B9" w:rsidRDefault="00B776B9" w:rsidP="00B776B9">
            <w:pPr>
              <w:autoSpaceDE w:val="0"/>
              <w:autoSpaceDN w:val="0"/>
              <w:adjustRightInd w:val="0"/>
              <w:spacing w:line="360" w:lineRule="auto"/>
              <w:jc w:val="both"/>
              <w:rPr>
                <w:rFonts w:ascii="Arial" w:eastAsia="Times New Roman" w:hAnsi="Arial" w:cs="Arial"/>
                <w:lang w:eastAsia="es-ES"/>
              </w:rPr>
            </w:pPr>
            <w:r w:rsidRPr="0083047C">
              <w:rPr>
                <w:rFonts w:ascii="Arial" w:eastAsia="Times New Roman" w:hAnsi="Arial" w:cs="Arial"/>
                <w:smallCaps/>
                <w:lang w:eastAsia="es-ES"/>
              </w:rPr>
              <w:t>Garin-Barrio I, Laza-Martínez A, Océn M, Cabido C. 2012.</w:t>
            </w:r>
            <w:r w:rsidRPr="00BF05C5">
              <w:rPr>
                <w:rFonts w:ascii="Arial" w:eastAsia="Times New Roman" w:hAnsi="Arial" w:cs="Arial"/>
                <w:lang w:eastAsia="es-ES"/>
              </w:rPr>
              <w:t xml:space="preserve"> </w:t>
            </w:r>
            <w:r w:rsidRPr="00BF05C5">
              <w:rPr>
                <w:rFonts w:ascii="Arial" w:eastAsia="Times New Roman" w:hAnsi="Arial" w:cs="Arial"/>
                <w:i/>
                <w:iCs/>
                <w:lang w:eastAsia="es-ES"/>
              </w:rPr>
              <w:t>Seguimiento de la población de sapo corredor (</w:t>
            </w:r>
            <w:r w:rsidRPr="00BF05C5">
              <w:rPr>
                <w:rFonts w:ascii="Arial" w:eastAsia="Times New Roman" w:hAnsi="Arial" w:cs="Arial"/>
                <w:lang w:eastAsia="es-ES"/>
              </w:rPr>
              <w:t>Bufo calamita</w:t>
            </w:r>
            <w:r w:rsidRPr="00BF05C5">
              <w:rPr>
                <w:rFonts w:ascii="Arial" w:eastAsia="Times New Roman" w:hAnsi="Arial" w:cs="Arial"/>
                <w:i/>
                <w:iCs/>
                <w:lang w:eastAsia="es-ES"/>
              </w:rPr>
              <w:t>) en el arenal de Azkorri y sus alrededores. Año 2012</w:t>
            </w:r>
            <w:r w:rsidRPr="00BF05C5">
              <w:rPr>
                <w:rFonts w:ascii="Arial" w:eastAsia="Times New Roman" w:hAnsi="Arial" w:cs="Arial"/>
                <w:lang w:eastAsia="es-ES"/>
              </w:rPr>
              <w:t xml:space="preserve">. Diputación Foral de Bizkaia. Inédito. 38 pp </w:t>
            </w:r>
          </w:p>
          <w:p w14:paraId="29CB0C62" w14:textId="54C9056F" w:rsidR="00B776B9" w:rsidRDefault="00B776B9" w:rsidP="00B776B9">
            <w:pPr>
              <w:autoSpaceDE w:val="0"/>
              <w:autoSpaceDN w:val="0"/>
              <w:adjustRightInd w:val="0"/>
              <w:spacing w:line="360" w:lineRule="auto"/>
              <w:jc w:val="both"/>
              <w:rPr>
                <w:rFonts w:ascii="Arial" w:eastAsia="Times New Roman" w:hAnsi="Arial" w:cs="Arial"/>
                <w:lang w:eastAsia="es-ES"/>
              </w:rPr>
            </w:pPr>
            <w:r w:rsidRPr="0083047C">
              <w:rPr>
                <w:rFonts w:ascii="Arial" w:eastAsia="Times New Roman" w:hAnsi="Arial" w:cs="Arial"/>
                <w:smallCaps/>
                <w:lang w:eastAsia="es-ES"/>
              </w:rPr>
              <w:t>Garin-Barrio I, Laza-Martinez A, Gosá A, Cabido C. 2013.</w:t>
            </w:r>
            <w:r w:rsidRPr="00BF05C5">
              <w:rPr>
                <w:rFonts w:ascii="Arial" w:eastAsia="Times New Roman" w:hAnsi="Arial" w:cs="Arial"/>
                <w:lang w:eastAsia="es-ES"/>
              </w:rPr>
              <w:t xml:space="preserve"> </w:t>
            </w:r>
            <w:r w:rsidRPr="00BF05C5">
              <w:rPr>
                <w:rFonts w:ascii="Arial" w:eastAsia="Times New Roman" w:hAnsi="Arial" w:cs="Arial"/>
                <w:i/>
                <w:iCs/>
                <w:lang w:eastAsia="es-ES"/>
              </w:rPr>
              <w:t>Seguimiento de la población de sapo corredor (</w:t>
            </w:r>
            <w:r w:rsidRPr="00BF05C5">
              <w:rPr>
                <w:rFonts w:ascii="Arial" w:eastAsia="Times New Roman" w:hAnsi="Arial" w:cs="Arial"/>
                <w:lang w:eastAsia="es-ES"/>
              </w:rPr>
              <w:t>Bufo calamita</w:t>
            </w:r>
            <w:r w:rsidRPr="00BF05C5">
              <w:rPr>
                <w:rFonts w:ascii="Arial" w:eastAsia="Times New Roman" w:hAnsi="Arial" w:cs="Arial"/>
                <w:i/>
                <w:iCs/>
                <w:lang w:eastAsia="es-ES"/>
              </w:rPr>
              <w:t>) en el arenal de Azkorri y sus alrededores. Año 2013</w:t>
            </w:r>
            <w:r w:rsidRPr="00BF05C5">
              <w:rPr>
                <w:rFonts w:ascii="Arial" w:eastAsia="Times New Roman" w:hAnsi="Arial" w:cs="Arial"/>
                <w:lang w:eastAsia="es-ES"/>
              </w:rPr>
              <w:t xml:space="preserve">. Diputación Foral de Bizkaia. Inédito. </w:t>
            </w:r>
            <w:r w:rsidRPr="003F453F">
              <w:rPr>
                <w:rFonts w:ascii="Arial" w:eastAsia="Times New Roman" w:hAnsi="Arial" w:cs="Arial"/>
                <w:lang w:eastAsia="es-ES"/>
              </w:rPr>
              <w:t>51 pp</w:t>
            </w:r>
          </w:p>
          <w:p w14:paraId="6DA6DD92" w14:textId="77777777" w:rsidR="00B776B9" w:rsidRDefault="00B776B9" w:rsidP="00B776B9">
            <w:pPr>
              <w:spacing w:line="360" w:lineRule="auto"/>
              <w:jc w:val="both"/>
              <w:rPr>
                <w:rFonts w:ascii="Arial" w:eastAsia="Times New Roman" w:hAnsi="Arial" w:cs="Arial"/>
                <w:lang w:eastAsia="es-ES"/>
              </w:rPr>
            </w:pPr>
            <w:r w:rsidRPr="0083047C">
              <w:rPr>
                <w:rFonts w:ascii="Arial" w:eastAsia="Times New Roman" w:hAnsi="Arial" w:cs="Arial"/>
                <w:smallCaps/>
                <w:lang w:eastAsia="es-ES"/>
              </w:rPr>
              <w:t>Garin-Barrio I, Laza-Martínez A, Cabido C. 2014.</w:t>
            </w:r>
            <w:r w:rsidRPr="00BF05C5">
              <w:rPr>
                <w:rFonts w:ascii="Arial" w:eastAsia="Times New Roman" w:hAnsi="Arial" w:cs="Arial"/>
                <w:lang w:eastAsia="es-ES"/>
              </w:rPr>
              <w:t xml:space="preserve"> </w:t>
            </w:r>
            <w:r w:rsidRPr="00BF05C5">
              <w:rPr>
                <w:rFonts w:ascii="Arial" w:eastAsia="Times New Roman" w:hAnsi="Arial" w:cs="Arial"/>
                <w:i/>
                <w:iCs/>
                <w:lang w:eastAsia="es-ES"/>
              </w:rPr>
              <w:t>Seguimiento de la población de sapo corredor (</w:t>
            </w:r>
            <w:r w:rsidRPr="00BF05C5">
              <w:rPr>
                <w:rFonts w:ascii="Arial" w:eastAsia="Times New Roman" w:hAnsi="Arial" w:cs="Arial"/>
                <w:lang w:eastAsia="es-ES"/>
              </w:rPr>
              <w:t>Bufo calamita</w:t>
            </w:r>
            <w:r w:rsidRPr="00BF05C5">
              <w:rPr>
                <w:rFonts w:ascii="Arial" w:eastAsia="Times New Roman" w:hAnsi="Arial" w:cs="Arial"/>
                <w:i/>
                <w:iCs/>
                <w:lang w:eastAsia="es-ES"/>
              </w:rPr>
              <w:t>) en el arenal de Azkorri y sus alrededores. Año 2014</w:t>
            </w:r>
            <w:r w:rsidRPr="00BF05C5">
              <w:rPr>
                <w:rFonts w:ascii="Arial" w:eastAsia="Times New Roman" w:hAnsi="Arial" w:cs="Arial"/>
                <w:lang w:eastAsia="es-ES"/>
              </w:rPr>
              <w:t>. Diputación Foral de Bizkaia. Inédito.</w:t>
            </w:r>
          </w:p>
          <w:p w14:paraId="358F1F4E" w14:textId="77777777" w:rsidR="00B776B9" w:rsidRDefault="00B776B9" w:rsidP="00B776B9">
            <w:pPr>
              <w:spacing w:line="360" w:lineRule="auto"/>
              <w:jc w:val="both"/>
              <w:rPr>
                <w:rFonts w:ascii="Arial" w:eastAsia="Times New Roman" w:hAnsi="Arial" w:cs="Arial"/>
                <w:lang w:eastAsia="es-ES"/>
              </w:rPr>
            </w:pPr>
            <w:r w:rsidRPr="0083047C">
              <w:rPr>
                <w:rFonts w:ascii="Arial" w:eastAsia="Times New Roman" w:hAnsi="Arial" w:cs="Arial"/>
                <w:smallCaps/>
                <w:lang w:eastAsia="es-ES"/>
              </w:rPr>
              <w:t>Garin-Barrio I, Laza-Martínez A, López J, Cabido C. 2015.</w:t>
            </w:r>
            <w:r w:rsidRPr="00BF05C5">
              <w:rPr>
                <w:rFonts w:ascii="Arial" w:eastAsia="Times New Roman" w:hAnsi="Arial" w:cs="Arial"/>
                <w:lang w:eastAsia="es-ES"/>
              </w:rPr>
              <w:t xml:space="preserve"> </w:t>
            </w:r>
            <w:r w:rsidRPr="00BF05C5">
              <w:rPr>
                <w:rFonts w:ascii="Arial" w:eastAsia="Times New Roman" w:hAnsi="Arial" w:cs="Arial"/>
                <w:i/>
                <w:iCs/>
                <w:lang w:eastAsia="es-ES"/>
              </w:rPr>
              <w:t>Seguimiento de la población de sapo corredor (</w:t>
            </w:r>
            <w:r w:rsidRPr="00BF05C5">
              <w:rPr>
                <w:rFonts w:ascii="Arial" w:eastAsia="Times New Roman" w:hAnsi="Arial" w:cs="Arial"/>
                <w:lang w:eastAsia="es-ES"/>
              </w:rPr>
              <w:t>Bufo calamita</w:t>
            </w:r>
            <w:r w:rsidRPr="00BF05C5">
              <w:rPr>
                <w:rFonts w:ascii="Arial" w:eastAsia="Times New Roman" w:hAnsi="Arial" w:cs="Arial"/>
                <w:i/>
                <w:iCs/>
                <w:lang w:eastAsia="es-ES"/>
              </w:rPr>
              <w:t>) en el arenal de Gorrondatxe y sus alrededores. Año 2015</w:t>
            </w:r>
            <w:r w:rsidRPr="00BF05C5">
              <w:rPr>
                <w:rFonts w:ascii="Arial" w:eastAsia="Times New Roman" w:hAnsi="Arial" w:cs="Arial"/>
                <w:lang w:eastAsia="es-ES"/>
              </w:rPr>
              <w:t>. Diputación Foral de Bizkaia. Inédito. 38 pp</w:t>
            </w:r>
          </w:p>
          <w:p w14:paraId="4EB0B127" w14:textId="77777777" w:rsidR="00B776B9" w:rsidRPr="003F453F" w:rsidRDefault="00B776B9" w:rsidP="00B776B9">
            <w:pPr>
              <w:spacing w:line="360" w:lineRule="auto"/>
              <w:rPr>
                <w:rFonts w:ascii="Arial" w:eastAsia="Times New Roman" w:hAnsi="Arial" w:cs="Arial"/>
                <w:iCs/>
                <w:lang w:eastAsia="es-ES"/>
              </w:rPr>
            </w:pPr>
            <w:r w:rsidRPr="0083047C">
              <w:rPr>
                <w:rFonts w:ascii="Arial" w:eastAsia="Times New Roman" w:hAnsi="Arial" w:cs="Arial"/>
                <w:smallCaps/>
                <w:lang w:eastAsia="es-ES"/>
              </w:rPr>
              <w:t>Garin-Barrio, I., Laza-Martínez, A., López, J. &amp; Cabido, C. 2016.</w:t>
            </w:r>
            <w:r>
              <w:rPr>
                <w:rFonts w:ascii="Arial" w:eastAsia="Times New Roman" w:hAnsi="Arial" w:cs="Arial"/>
                <w:lang w:eastAsia="es-ES"/>
              </w:rPr>
              <w:t xml:space="preserve"> S</w:t>
            </w:r>
            <w:r w:rsidRPr="00BF05C5">
              <w:rPr>
                <w:rFonts w:ascii="Arial" w:eastAsia="Times New Roman" w:hAnsi="Arial" w:cs="Arial"/>
                <w:i/>
                <w:iCs/>
                <w:lang w:eastAsia="es-ES"/>
              </w:rPr>
              <w:t>eguimiento de la población de sapo corredor (</w:t>
            </w:r>
            <w:r w:rsidRPr="00BF05C5">
              <w:rPr>
                <w:rFonts w:ascii="Arial" w:eastAsia="Times New Roman" w:hAnsi="Arial" w:cs="Arial"/>
                <w:lang w:eastAsia="es-ES"/>
              </w:rPr>
              <w:t>Bufo calamita</w:t>
            </w:r>
            <w:r w:rsidRPr="00BF05C5">
              <w:rPr>
                <w:rFonts w:ascii="Arial" w:eastAsia="Times New Roman" w:hAnsi="Arial" w:cs="Arial"/>
                <w:i/>
                <w:iCs/>
                <w:lang w:eastAsia="es-ES"/>
              </w:rPr>
              <w:t>) en el arenal de Gorrondatxe y sus alrededores. Año 2016.</w:t>
            </w:r>
            <w:r w:rsidRPr="00BF05C5">
              <w:rPr>
                <w:rFonts w:ascii="Arial" w:eastAsia="Times New Roman" w:hAnsi="Arial" w:cs="Arial"/>
                <w:lang w:eastAsia="es-ES"/>
              </w:rPr>
              <w:t xml:space="preserve"> Diputación Foral de Bizkaia. Inédito.</w:t>
            </w:r>
          </w:p>
          <w:p w14:paraId="6B88F963" w14:textId="77777777" w:rsidR="00B776B9" w:rsidRDefault="00B776B9" w:rsidP="00B776B9">
            <w:pPr>
              <w:spacing w:line="360" w:lineRule="auto"/>
              <w:jc w:val="both"/>
              <w:rPr>
                <w:rFonts w:ascii="Arial" w:eastAsia="Times New Roman" w:hAnsi="Arial" w:cs="Arial"/>
                <w:lang w:val="es-ES_tradnl" w:eastAsia="es-ES"/>
              </w:rPr>
            </w:pPr>
            <w:r w:rsidRPr="0083047C">
              <w:rPr>
                <w:rFonts w:ascii="Arial" w:eastAsia="Times New Roman" w:hAnsi="Arial" w:cs="Arial"/>
                <w:smallCaps/>
                <w:lang w:val="es-ES_tradnl" w:eastAsia="es-ES"/>
              </w:rPr>
              <w:t>Gosá, A., Garin-Barrio, I., Cabido, C., Laza-Martínez, A. &amp; Rubio, X. 2018.</w:t>
            </w:r>
            <w:r w:rsidRPr="00BF05C5">
              <w:rPr>
                <w:rFonts w:ascii="Arial" w:eastAsia="Times New Roman" w:hAnsi="Arial" w:cs="Arial"/>
                <w:lang w:val="es-ES_tradnl" w:eastAsia="es-ES"/>
              </w:rPr>
              <w:t xml:space="preserve"> Seguimiento de anfibios en espacios protegidos del País Vasco y Navarra. I. Parques Naturales de Izki y Valderejo (Álava). </w:t>
            </w:r>
            <w:r w:rsidRPr="00BF05C5">
              <w:rPr>
                <w:rFonts w:ascii="Arial" w:eastAsia="Times New Roman" w:hAnsi="Arial" w:cs="Arial"/>
                <w:i/>
                <w:lang w:val="es-ES_tradnl" w:eastAsia="es-ES"/>
              </w:rPr>
              <w:t>Munibe</w:t>
            </w:r>
            <w:r w:rsidRPr="00BF05C5">
              <w:rPr>
                <w:rFonts w:ascii="Arial" w:eastAsia="Times New Roman" w:hAnsi="Arial" w:cs="Arial"/>
                <w:lang w:val="es-ES_tradnl" w:eastAsia="es-ES"/>
              </w:rPr>
              <w:t>, 66:129-144.</w:t>
            </w:r>
          </w:p>
          <w:p w14:paraId="00D42B1A" w14:textId="77777777" w:rsidR="00B776B9" w:rsidRPr="00541789" w:rsidRDefault="00B776B9" w:rsidP="00B776B9">
            <w:pPr>
              <w:spacing w:line="360" w:lineRule="auto"/>
              <w:jc w:val="both"/>
              <w:rPr>
                <w:rFonts w:ascii="Arial" w:eastAsia="Times New Roman" w:hAnsi="Arial" w:cs="Arial"/>
                <w:lang w:eastAsia="es-ES"/>
              </w:rPr>
            </w:pPr>
            <w:r w:rsidRPr="0083047C">
              <w:rPr>
                <w:rFonts w:ascii="Arial" w:eastAsia="Times New Roman" w:hAnsi="Arial" w:cs="Arial"/>
                <w:smallCaps/>
                <w:lang w:eastAsia="es-ES"/>
              </w:rPr>
              <w:t>Garin-Barrio, I. 2012.</w:t>
            </w:r>
            <w:r w:rsidRPr="00541789">
              <w:rPr>
                <w:rFonts w:ascii="Arial" w:eastAsia="Times New Roman" w:hAnsi="Arial" w:cs="Arial"/>
                <w:lang w:eastAsia="es-ES"/>
              </w:rPr>
              <w:t xml:space="preserve"> </w:t>
            </w:r>
            <w:r w:rsidRPr="00BF05C5">
              <w:rPr>
                <w:rFonts w:ascii="Arial" w:eastAsia="Times New Roman" w:hAnsi="Arial" w:cs="Arial"/>
                <w:lang w:val="en-US" w:eastAsia="es-ES"/>
              </w:rPr>
              <w:t xml:space="preserve">The 2nd International Symposium on the Conservation of Amphibians: </w:t>
            </w:r>
            <w:r w:rsidRPr="00BF05C5">
              <w:rPr>
                <w:rFonts w:ascii="Arial" w:eastAsia="Times New Roman" w:hAnsi="Arial" w:cs="Arial"/>
                <w:i/>
                <w:lang w:val="en-US" w:eastAsia="es-ES"/>
              </w:rPr>
              <w:t>Bufo calamita</w:t>
            </w:r>
            <w:r w:rsidRPr="00BF05C5">
              <w:rPr>
                <w:rFonts w:ascii="Arial" w:eastAsia="Times New Roman" w:hAnsi="Arial" w:cs="Arial"/>
                <w:lang w:val="en-US" w:eastAsia="es-ES"/>
              </w:rPr>
              <w:t>.</w:t>
            </w:r>
            <w:r w:rsidRPr="00BF05C5">
              <w:rPr>
                <w:rFonts w:ascii="Arial" w:eastAsia="Times New Roman" w:hAnsi="Arial" w:cs="Arial"/>
                <w:i/>
                <w:iCs/>
                <w:lang w:val="en-US" w:eastAsia="es-ES"/>
              </w:rPr>
              <w:t xml:space="preserve"> </w:t>
            </w:r>
            <w:r w:rsidRPr="00541789">
              <w:rPr>
                <w:rFonts w:ascii="Arial" w:eastAsia="Times New Roman" w:hAnsi="Arial" w:cs="Arial"/>
                <w:i/>
                <w:iCs/>
                <w:lang w:eastAsia="es-ES"/>
              </w:rPr>
              <w:t>Froglog</w:t>
            </w:r>
            <w:r w:rsidRPr="00541789">
              <w:rPr>
                <w:rFonts w:ascii="Arial" w:eastAsia="Times New Roman" w:hAnsi="Arial" w:cs="Arial"/>
                <w:lang w:eastAsia="es-ES"/>
              </w:rPr>
              <w:t>, 101:44.</w:t>
            </w:r>
          </w:p>
          <w:p w14:paraId="668639B8" w14:textId="0B9A2BB7" w:rsidR="00B776B9" w:rsidRDefault="00B776B9" w:rsidP="00B776B9">
            <w:pPr>
              <w:spacing w:line="360" w:lineRule="auto"/>
              <w:jc w:val="both"/>
              <w:rPr>
                <w:rFonts w:ascii="Arial" w:eastAsia="Times New Roman" w:hAnsi="Arial" w:cs="Arial"/>
                <w:lang w:val="es-ES_tradnl" w:eastAsia="es-ES"/>
              </w:rPr>
            </w:pPr>
            <w:r w:rsidRPr="0083047C">
              <w:rPr>
                <w:rFonts w:ascii="Arial" w:eastAsia="Times New Roman" w:hAnsi="Arial" w:cs="Arial"/>
                <w:smallCaps/>
                <w:lang w:eastAsia="es-ES"/>
              </w:rPr>
              <w:t>Huste, A., Clobert, J. &amp; Miaud, C. 2006.</w:t>
            </w:r>
            <w:r w:rsidRPr="00541789">
              <w:rPr>
                <w:rFonts w:ascii="Arial" w:eastAsia="Times New Roman" w:hAnsi="Arial" w:cs="Arial"/>
                <w:lang w:eastAsia="es-ES"/>
              </w:rPr>
              <w:t xml:space="preserve"> </w:t>
            </w:r>
            <w:r w:rsidRPr="00BF05C5">
              <w:rPr>
                <w:rFonts w:ascii="Arial" w:eastAsia="Times New Roman" w:hAnsi="Arial" w:cs="Arial"/>
                <w:lang w:val="en-US" w:eastAsia="es-ES"/>
              </w:rPr>
              <w:t>The movements and breeding site fidelity of the natterjack toad (</w:t>
            </w:r>
            <w:r w:rsidRPr="00BF05C5">
              <w:rPr>
                <w:rFonts w:ascii="Arial" w:eastAsia="Times New Roman" w:hAnsi="Arial" w:cs="Arial"/>
                <w:i/>
                <w:lang w:val="en-US" w:eastAsia="es-ES"/>
              </w:rPr>
              <w:t>Bufo calamita</w:t>
            </w:r>
            <w:r w:rsidRPr="00BF05C5">
              <w:rPr>
                <w:rFonts w:ascii="Arial" w:eastAsia="Times New Roman" w:hAnsi="Arial" w:cs="Arial"/>
                <w:lang w:val="en-US" w:eastAsia="es-ES"/>
              </w:rPr>
              <w:t xml:space="preserve">) in an urban park near Paris (France) with management recommendations. </w:t>
            </w:r>
            <w:r w:rsidRPr="00BF05C5">
              <w:rPr>
                <w:rFonts w:ascii="Arial" w:eastAsia="Times New Roman" w:hAnsi="Arial" w:cs="Arial"/>
                <w:lang w:val="es-ES_tradnl" w:eastAsia="es-ES"/>
              </w:rPr>
              <w:t>Amphibia-Reptilia, 27: 561-568.</w:t>
            </w:r>
          </w:p>
          <w:p w14:paraId="4661274E" w14:textId="77777777" w:rsidR="00B776B9" w:rsidRDefault="00B776B9" w:rsidP="00B776B9">
            <w:pPr>
              <w:spacing w:line="360" w:lineRule="auto"/>
              <w:jc w:val="both"/>
              <w:rPr>
                <w:rFonts w:ascii="Arial" w:eastAsia="Times New Roman" w:hAnsi="Arial" w:cs="Arial"/>
                <w:lang w:eastAsia="es-ES"/>
              </w:rPr>
            </w:pPr>
            <w:r w:rsidRPr="0083047C">
              <w:rPr>
                <w:rFonts w:ascii="Arial" w:eastAsia="Times New Roman" w:hAnsi="Arial" w:cs="Arial"/>
                <w:smallCaps/>
                <w:lang w:eastAsia="es-ES"/>
              </w:rPr>
              <w:t>Iraola, A., García-París, M. &amp; Gómez-Moliner, B. 2007.</w:t>
            </w:r>
            <w:r w:rsidRPr="00BF05C5">
              <w:rPr>
                <w:rFonts w:ascii="Arial" w:eastAsia="Times New Roman" w:hAnsi="Arial" w:cs="Arial"/>
                <w:lang w:eastAsia="es-ES"/>
              </w:rPr>
              <w:t xml:space="preserve"> </w:t>
            </w:r>
            <w:r w:rsidRPr="00BF05C5">
              <w:rPr>
                <w:rFonts w:ascii="Arial" w:eastAsia="Times New Roman" w:hAnsi="Arial" w:cs="Arial"/>
                <w:i/>
                <w:lang w:eastAsia="es-ES"/>
              </w:rPr>
              <w:t>Caracterización molecular del sapo corredor (</w:t>
            </w:r>
            <w:r w:rsidRPr="00BF05C5">
              <w:rPr>
                <w:rFonts w:ascii="Arial" w:eastAsia="Times New Roman" w:hAnsi="Arial" w:cs="Arial"/>
                <w:lang w:eastAsia="es-ES"/>
              </w:rPr>
              <w:t>Bufo calamita</w:t>
            </w:r>
            <w:r w:rsidRPr="00BF05C5">
              <w:rPr>
                <w:rFonts w:ascii="Arial" w:eastAsia="Times New Roman" w:hAnsi="Arial" w:cs="Arial"/>
                <w:i/>
                <w:lang w:eastAsia="es-ES"/>
              </w:rPr>
              <w:t>) en el País Vasco e implicaciones para su conservación</w:t>
            </w:r>
            <w:r w:rsidRPr="00BF05C5">
              <w:rPr>
                <w:rFonts w:ascii="Arial" w:eastAsia="Times New Roman" w:hAnsi="Arial" w:cs="Arial"/>
                <w:lang w:eastAsia="es-ES"/>
              </w:rPr>
              <w:t>. Departamento de Ordenación del Territorio y Medio Ambiente</w:t>
            </w:r>
            <w:r>
              <w:rPr>
                <w:rFonts w:ascii="Arial" w:eastAsia="Times New Roman" w:hAnsi="Arial" w:cs="Arial"/>
                <w:lang w:eastAsia="es-ES"/>
              </w:rPr>
              <w:t xml:space="preserve"> del Gobierno Vasco</w:t>
            </w:r>
            <w:r w:rsidRPr="00BF05C5">
              <w:rPr>
                <w:rFonts w:ascii="Arial" w:eastAsia="Times New Roman" w:hAnsi="Arial" w:cs="Arial"/>
                <w:lang w:eastAsia="es-ES"/>
              </w:rPr>
              <w:t>. Informe inédito.</w:t>
            </w:r>
          </w:p>
          <w:p w14:paraId="182DAA03" w14:textId="77777777" w:rsidR="00B776B9" w:rsidRPr="00541789" w:rsidRDefault="00B776B9" w:rsidP="00B776B9">
            <w:pPr>
              <w:spacing w:line="360" w:lineRule="auto"/>
              <w:jc w:val="both"/>
              <w:rPr>
                <w:rFonts w:ascii="Arial" w:eastAsia="Times New Roman" w:hAnsi="Arial" w:cs="Arial"/>
                <w:lang w:val="en-US" w:eastAsia="es-ES"/>
              </w:rPr>
            </w:pPr>
            <w:r w:rsidRPr="0083047C">
              <w:rPr>
                <w:rFonts w:ascii="Arial" w:eastAsia="Times New Roman" w:hAnsi="Arial" w:cs="Arial"/>
                <w:smallCaps/>
                <w:lang w:eastAsia="es-ES"/>
              </w:rPr>
              <w:t xml:space="preserve">Iraola, A., Madeira, MJ., Rubio, X., Gómez-Moliner, BJ. </w:t>
            </w:r>
            <w:r w:rsidRPr="0083047C">
              <w:rPr>
                <w:rFonts w:ascii="Arial" w:eastAsia="Times New Roman" w:hAnsi="Arial" w:cs="Arial"/>
                <w:smallCaps/>
                <w:lang w:val="en-US" w:eastAsia="es-ES"/>
              </w:rPr>
              <w:t>&amp; García-París, M. 2010.</w:t>
            </w:r>
            <w:r w:rsidRPr="00BF05C5">
              <w:rPr>
                <w:rFonts w:ascii="Arial" w:eastAsia="Times New Roman" w:hAnsi="Arial" w:cs="Arial"/>
                <w:lang w:val="en-US" w:eastAsia="es-ES"/>
              </w:rPr>
              <w:t xml:space="preserve"> Phylogeography of </w:t>
            </w:r>
            <w:r w:rsidRPr="00BF05C5">
              <w:rPr>
                <w:rFonts w:ascii="Arial" w:eastAsia="Times New Roman" w:hAnsi="Arial" w:cs="Arial"/>
                <w:i/>
                <w:iCs/>
                <w:lang w:val="en-US" w:eastAsia="es-ES"/>
              </w:rPr>
              <w:t xml:space="preserve">Bufo calamita </w:t>
            </w:r>
            <w:r w:rsidRPr="00BF05C5">
              <w:rPr>
                <w:rFonts w:ascii="Arial" w:eastAsia="Times New Roman" w:hAnsi="Arial" w:cs="Arial"/>
                <w:lang w:val="en-US" w:eastAsia="es-ES"/>
              </w:rPr>
              <w:t xml:space="preserve">in the Iberian Peninsula and genetic structure of the isolated populations in the Basque Coast. </w:t>
            </w:r>
            <w:r w:rsidRPr="00BF05C5">
              <w:rPr>
                <w:rFonts w:ascii="Arial" w:eastAsia="Times New Roman" w:hAnsi="Arial" w:cs="Arial"/>
                <w:i/>
                <w:iCs/>
                <w:lang w:val="en-US" w:eastAsia="es-ES"/>
              </w:rPr>
              <w:t xml:space="preserve">2nd International Symposium on the Conservation of Amphibians: </w:t>
            </w:r>
            <w:r w:rsidRPr="00BF05C5">
              <w:rPr>
                <w:rFonts w:ascii="Arial" w:eastAsia="Times New Roman" w:hAnsi="Arial" w:cs="Arial"/>
                <w:lang w:val="en-US" w:eastAsia="es-ES"/>
              </w:rPr>
              <w:t xml:space="preserve">Bufo calamita. </w:t>
            </w:r>
            <w:r w:rsidRPr="00541789">
              <w:rPr>
                <w:rFonts w:ascii="Arial" w:eastAsia="Times New Roman" w:hAnsi="Arial" w:cs="Arial"/>
                <w:lang w:val="en-US" w:eastAsia="es-ES"/>
              </w:rPr>
              <w:t>Donostia-San Sebastián: 24-25.</w:t>
            </w:r>
          </w:p>
          <w:p w14:paraId="2AE0044A" w14:textId="77777777" w:rsidR="00B776B9" w:rsidRPr="00541789" w:rsidRDefault="00B776B9" w:rsidP="00B776B9">
            <w:pPr>
              <w:spacing w:line="360" w:lineRule="auto"/>
              <w:jc w:val="both"/>
              <w:rPr>
                <w:rFonts w:ascii="Arial" w:eastAsia="Times New Roman" w:hAnsi="Arial" w:cs="Arial"/>
                <w:lang w:val="en-US" w:eastAsia="es-ES"/>
              </w:rPr>
            </w:pPr>
            <w:r w:rsidRPr="0083047C">
              <w:rPr>
                <w:rFonts w:ascii="Arial" w:eastAsia="Times New Roman" w:hAnsi="Arial" w:cs="Arial"/>
                <w:smallCaps/>
                <w:lang w:val="en-US" w:eastAsia="es-ES"/>
              </w:rPr>
              <w:t>Koskorrotza, A. 2016.</w:t>
            </w:r>
            <w:r w:rsidRPr="00541789">
              <w:rPr>
                <w:rFonts w:ascii="Arial" w:eastAsia="Times New Roman" w:hAnsi="Arial" w:cs="Arial"/>
                <w:lang w:val="en-US" w:eastAsia="es-ES"/>
              </w:rPr>
              <w:t xml:space="preserve"> </w:t>
            </w:r>
            <w:r w:rsidRPr="00541789">
              <w:rPr>
                <w:rFonts w:ascii="Arial" w:eastAsia="Times New Roman" w:hAnsi="Arial" w:cs="Arial"/>
                <w:i/>
                <w:lang w:val="en-US" w:eastAsia="es-ES"/>
              </w:rPr>
              <w:t>Lea Ibaia Kontserbazio Bereziko Eremuaren ibaiadarretako anfibioen azterketa eta hauen kontserbaziorako neurrien proposamenak</w:t>
            </w:r>
            <w:r w:rsidRPr="00541789">
              <w:rPr>
                <w:rFonts w:ascii="Arial" w:eastAsia="Times New Roman" w:hAnsi="Arial" w:cs="Arial"/>
                <w:lang w:val="en-US" w:eastAsia="es-ES"/>
              </w:rPr>
              <w:t xml:space="preserve">. </w:t>
            </w:r>
            <w:r w:rsidRPr="001337DD">
              <w:rPr>
                <w:rFonts w:ascii="Arial" w:eastAsia="Times New Roman" w:hAnsi="Arial" w:cs="Arial"/>
                <w:lang w:val="es-ES_tradnl" w:eastAsia="es-ES"/>
              </w:rPr>
              <w:t xml:space="preserve">Gradu Amaierako Lana. </w:t>
            </w:r>
            <w:r>
              <w:rPr>
                <w:rFonts w:ascii="Arial" w:eastAsia="Times New Roman" w:hAnsi="Arial" w:cs="Arial"/>
                <w:lang w:val="es-ES_tradnl" w:eastAsia="es-ES"/>
              </w:rPr>
              <w:t xml:space="preserve">Ingurugiro Zientzietako Gradua. </w:t>
            </w:r>
            <w:r w:rsidRPr="001337DD">
              <w:rPr>
                <w:rFonts w:ascii="Arial" w:eastAsia="Times New Roman" w:hAnsi="Arial" w:cs="Arial"/>
                <w:lang w:val="es-ES_tradnl" w:eastAsia="es-ES"/>
              </w:rPr>
              <w:t xml:space="preserve">Farmazia fakultatea, Vitoria-Gasteiz. </w:t>
            </w:r>
            <w:r w:rsidRPr="00541789">
              <w:rPr>
                <w:rFonts w:ascii="Arial" w:eastAsia="Times New Roman" w:hAnsi="Arial" w:cs="Arial"/>
                <w:lang w:val="en-US" w:eastAsia="es-ES"/>
              </w:rPr>
              <w:t>26 pp</w:t>
            </w:r>
          </w:p>
          <w:p w14:paraId="6F11647F" w14:textId="77777777" w:rsidR="00B776B9" w:rsidRPr="00541789" w:rsidRDefault="00B776B9" w:rsidP="00B776B9">
            <w:pPr>
              <w:spacing w:line="360" w:lineRule="auto"/>
              <w:rPr>
                <w:rFonts w:ascii="Arial" w:hAnsi="Arial" w:cs="Arial"/>
                <w:color w:val="000000"/>
              </w:rPr>
            </w:pPr>
            <w:r w:rsidRPr="00541789">
              <w:rPr>
                <w:rFonts w:ascii="Arial" w:hAnsi="Arial" w:cs="Arial"/>
                <w:smallCaps/>
                <w:color w:val="000000"/>
              </w:rPr>
              <w:t>Laza-Martínez, A., Garin-Barrio, I., López, J. &amp; Cabido, C.</w:t>
            </w:r>
            <w:r w:rsidRPr="00541789">
              <w:rPr>
                <w:rFonts w:ascii="Arial" w:hAnsi="Arial" w:cs="Arial"/>
                <w:color w:val="000000"/>
              </w:rPr>
              <w:t xml:space="preserve"> 2017. </w:t>
            </w:r>
            <w:r w:rsidRPr="00541789">
              <w:rPr>
                <w:rFonts w:ascii="Arial" w:hAnsi="Arial" w:cs="Arial"/>
                <w:i/>
                <w:color w:val="000000"/>
              </w:rPr>
              <w:t>Seguimiento de la población costera de sapo corredor en el arenal de Gorrondatxe y sus alrededores. Año 2017</w:t>
            </w:r>
            <w:r w:rsidRPr="00541789">
              <w:rPr>
                <w:rFonts w:ascii="Arial" w:hAnsi="Arial" w:cs="Arial"/>
                <w:color w:val="000000"/>
              </w:rPr>
              <w:t>. Diputación Foral de Bizkaia. Informe inédito. 27 pp</w:t>
            </w:r>
          </w:p>
          <w:p w14:paraId="09493F45" w14:textId="77777777" w:rsidR="00B776B9" w:rsidRDefault="00B776B9" w:rsidP="00B776B9">
            <w:pPr>
              <w:spacing w:line="360" w:lineRule="auto"/>
              <w:rPr>
                <w:rFonts w:ascii="Arial" w:hAnsi="Arial" w:cs="Arial"/>
              </w:rPr>
            </w:pPr>
            <w:r w:rsidRPr="00541789">
              <w:rPr>
                <w:rFonts w:ascii="Arial" w:hAnsi="Arial" w:cs="Arial"/>
                <w:smallCaps/>
              </w:rPr>
              <w:t>Lochram</w:t>
            </w:r>
            <w:r>
              <w:rPr>
                <w:rFonts w:ascii="Arial" w:hAnsi="Arial" w:cs="Arial"/>
                <w:smallCaps/>
              </w:rPr>
              <w:t>, W.L., Bradshaw, C.J.A. &amp; Brook, B.W.</w:t>
            </w:r>
            <w:r w:rsidRPr="00541789">
              <w:rPr>
                <w:rFonts w:ascii="Arial" w:hAnsi="Arial" w:cs="Arial"/>
              </w:rPr>
              <w:t xml:space="preserve"> 20</w:t>
            </w:r>
            <w:r>
              <w:rPr>
                <w:rFonts w:ascii="Arial" w:hAnsi="Arial" w:cs="Arial"/>
              </w:rPr>
              <w:t xml:space="preserve">07. Minimum viable population size: A meta-analysis of 30 years of published estimates. </w:t>
            </w:r>
            <w:r w:rsidRPr="00541789">
              <w:rPr>
                <w:rFonts w:ascii="Arial" w:hAnsi="Arial" w:cs="Arial"/>
                <w:i/>
              </w:rPr>
              <w:t>Biological conservation</w:t>
            </w:r>
            <w:r>
              <w:rPr>
                <w:rFonts w:ascii="Arial" w:hAnsi="Arial" w:cs="Arial"/>
              </w:rPr>
              <w:t>, 139(1):159-166</w:t>
            </w:r>
          </w:p>
          <w:p w14:paraId="5A0CF988" w14:textId="77777777" w:rsidR="00B776B9" w:rsidRDefault="00B776B9" w:rsidP="00B776B9">
            <w:pPr>
              <w:spacing w:line="360" w:lineRule="auto"/>
              <w:jc w:val="both"/>
              <w:rPr>
                <w:rFonts w:ascii="Arial" w:eastAsia="Times New Roman" w:hAnsi="Arial" w:cs="Arial"/>
                <w:lang w:val="es-ES_tradnl" w:eastAsia="es-ES"/>
              </w:rPr>
            </w:pPr>
            <w:r w:rsidRPr="0083047C">
              <w:rPr>
                <w:rFonts w:ascii="Arial" w:eastAsia="Times New Roman" w:hAnsi="Arial" w:cs="Arial"/>
                <w:smallCaps/>
                <w:lang w:val="en-US" w:eastAsia="es-ES"/>
              </w:rPr>
              <w:t>Miaud, C., Sanuy, D. &amp; Avrillier, J. N. 2000.</w:t>
            </w:r>
            <w:r w:rsidRPr="00BF05C5">
              <w:rPr>
                <w:rFonts w:ascii="Arial" w:eastAsia="Times New Roman" w:hAnsi="Arial" w:cs="Arial"/>
                <w:lang w:val="en-US" w:eastAsia="es-ES"/>
              </w:rPr>
              <w:t xml:space="preserve"> Terrestrial movements of the natterjack toad </w:t>
            </w:r>
            <w:r w:rsidRPr="00BF05C5">
              <w:rPr>
                <w:rFonts w:ascii="Arial" w:eastAsia="Times New Roman" w:hAnsi="Arial" w:cs="Arial"/>
                <w:i/>
                <w:lang w:val="en-US" w:eastAsia="es-ES"/>
              </w:rPr>
              <w:t>Bufo calamita</w:t>
            </w:r>
            <w:r w:rsidRPr="00BF05C5">
              <w:rPr>
                <w:rFonts w:ascii="Arial" w:eastAsia="Times New Roman" w:hAnsi="Arial" w:cs="Arial"/>
                <w:lang w:val="en-US" w:eastAsia="es-ES"/>
              </w:rPr>
              <w:t xml:space="preserve"> (Amphibia, Anura) in a semi-arid, agricultural landscape. </w:t>
            </w:r>
            <w:r w:rsidRPr="00B776B9">
              <w:rPr>
                <w:rFonts w:ascii="Arial" w:eastAsia="Times New Roman" w:hAnsi="Arial" w:cs="Arial"/>
                <w:i/>
                <w:lang w:val="es-ES_tradnl" w:eastAsia="es-ES"/>
              </w:rPr>
              <w:t>Amphibia-Reptilia</w:t>
            </w:r>
            <w:r w:rsidRPr="00BF05C5">
              <w:rPr>
                <w:rFonts w:ascii="Arial" w:eastAsia="Times New Roman" w:hAnsi="Arial" w:cs="Arial"/>
                <w:lang w:val="es-ES_tradnl" w:eastAsia="es-ES"/>
              </w:rPr>
              <w:t>, 21: 357-369.</w:t>
            </w:r>
          </w:p>
          <w:p w14:paraId="3ECDAA7A" w14:textId="77777777" w:rsidR="00B776B9" w:rsidRDefault="00B776B9" w:rsidP="00B776B9">
            <w:pPr>
              <w:spacing w:line="360" w:lineRule="auto"/>
              <w:jc w:val="both"/>
              <w:rPr>
                <w:rFonts w:ascii="Arial" w:eastAsia="Times New Roman" w:hAnsi="Arial" w:cs="Arial"/>
                <w:lang w:val="es-ES_tradnl" w:eastAsia="es-ES"/>
              </w:rPr>
            </w:pPr>
            <w:r w:rsidRPr="00BF05C5">
              <w:rPr>
                <w:rFonts w:ascii="Arial" w:eastAsia="Times New Roman" w:hAnsi="Arial" w:cs="Arial"/>
                <w:lang w:val="es-ES_tradnl" w:eastAsia="es-ES"/>
              </w:rPr>
              <w:t xml:space="preserve">Miró, I. 1976. </w:t>
            </w:r>
            <w:r w:rsidRPr="00BF05C5">
              <w:rPr>
                <w:rFonts w:ascii="Arial" w:eastAsia="Times New Roman" w:hAnsi="Arial" w:cs="Arial"/>
                <w:i/>
                <w:lang w:val="es-ES_tradnl" w:eastAsia="es-ES"/>
              </w:rPr>
              <w:t>Anfibios y reptiles de Vizcaya</w:t>
            </w:r>
            <w:r w:rsidRPr="00BF05C5">
              <w:rPr>
                <w:rFonts w:ascii="Arial" w:eastAsia="Times New Roman" w:hAnsi="Arial" w:cs="Arial"/>
                <w:lang w:val="es-ES_tradnl" w:eastAsia="es-ES"/>
              </w:rPr>
              <w:t>. Col. Temas. Vizcaínos, 17. Caja de Ahorros Vizcaína.</w:t>
            </w:r>
          </w:p>
          <w:p w14:paraId="7311DC84" w14:textId="77777777" w:rsidR="00B776B9" w:rsidRDefault="00B776B9" w:rsidP="00B776B9">
            <w:pPr>
              <w:spacing w:line="360" w:lineRule="auto"/>
              <w:jc w:val="both"/>
              <w:rPr>
                <w:rFonts w:ascii="Arial" w:eastAsia="Times New Roman" w:hAnsi="Arial" w:cs="Arial"/>
                <w:lang w:val="es-ES_tradnl" w:eastAsia="es-ES"/>
              </w:rPr>
            </w:pPr>
            <w:r w:rsidRPr="0083047C">
              <w:rPr>
                <w:rFonts w:ascii="Arial" w:eastAsia="Times New Roman" w:hAnsi="Arial" w:cs="Arial"/>
                <w:smallCaps/>
                <w:lang w:val="es-ES_tradnl" w:eastAsia="es-ES"/>
              </w:rPr>
              <w:t>Rubio, X., Garin-Barrio, I., San Sebastián, O. &amp; Iraola, I. 2004.</w:t>
            </w:r>
            <w:r w:rsidRPr="00BF05C5">
              <w:rPr>
                <w:rFonts w:ascii="Arial" w:eastAsia="Times New Roman" w:hAnsi="Arial" w:cs="Arial"/>
                <w:lang w:val="es-ES_tradnl" w:eastAsia="es-ES"/>
              </w:rPr>
              <w:t xml:space="preserve"> Nota sobre la distribución del sapo corredor (</w:t>
            </w:r>
            <w:r w:rsidRPr="00BF05C5">
              <w:rPr>
                <w:rFonts w:ascii="Arial" w:eastAsia="Times New Roman" w:hAnsi="Arial" w:cs="Arial"/>
                <w:i/>
                <w:lang w:val="es-ES_tradnl" w:eastAsia="es-ES"/>
              </w:rPr>
              <w:t>Bufo calamita</w:t>
            </w:r>
            <w:r w:rsidRPr="00BF05C5">
              <w:rPr>
                <w:rFonts w:ascii="Arial" w:eastAsia="Times New Roman" w:hAnsi="Arial" w:cs="Arial"/>
                <w:lang w:val="es-ES_tradnl" w:eastAsia="es-ES"/>
              </w:rPr>
              <w:t xml:space="preserve">, Laurenti, 1768) en la Bahía de Txingudi (Gipuzkoa, País Vasco). </w:t>
            </w:r>
            <w:r w:rsidRPr="00B776B9">
              <w:rPr>
                <w:rFonts w:ascii="Arial" w:eastAsia="Times New Roman" w:hAnsi="Arial" w:cs="Arial"/>
                <w:i/>
                <w:lang w:val="es-ES_tradnl" w:eastAsia="es-ES"/>
              </w:rPr>
              <w:t>Munibe</w:t>
            </w:r>
            <w:r w:rsidRPr="00BF05C5">
              <w:rPr>
                <w:rFonts w:ascii="Arial" w:eastAsia="Times New Roman" w:hAnsi="Arial" w:cs="Arial"/>
                <w:lang w:val="es-ES_tradnl" w:eastAsia="es-ES"/>
              </w:rPr>
              <w:t>, 55:253-255</w:t>
            </w:r>
            <w:r>
              <w:rPr>
                <w:rFonts w:ascii="Arial" w:eastAsia="Times New Roman" w:hAnsi="Arial" w:cs="Arial"/>
                <w:lang w:val="es-ES_tradnl" w:eastAsia="es-ES"/>
              </w:rPr>
              <w:t>.</w:t>
            </w:r>
          </w:p>
          <w:p w14:paraId="0F4597C3" w14:textId="77777777" w:rsidR="00B776B9" w:rsidRDefault="00B776B9" w:rsidP="00B776B9">
            <w:pPr>
              <w:spacing w:line="360" w:lineRule="auto"/>
              <w:jc w:val="both"/>
              <w:rPr>
                <w:rFonts w:ascii="Arial" w:eastAsia="Times New Roman" w:hAnsi="Arial" w:cs="Arial"/>
                <w:lang w:eastAsia="es-ES"/>
              </w:rPr>
            </w:pPr>
            <w:r w:rsidRPr="0083047C">
              <w:rPr>
                <w:rFonts w:ascii="Arial" w:eastAsia="Times New Roman" w:hAnsi="Arial" w:cs="Arial"/>
                <w:smallCaps/>
                <w:lang w:eastAsia="es-ES"/>
              </w:rPr>
              <w:t>San Sebastián, O., Garin-Barrio, I., Rubio, X. &amp; Días, F. 2005.</w:t>
            </w:r>
            <w:r w:rsidRPr="00BF05C5">
              <w:rPr>
                <w:rFonts w:ascii="Arial" w:eastAsia="Times New Roman" w:hAnsi="Arial" w:cs="Arial"/>
                <w:lang w:eastAsia="es-ES"/>
              </w:rPr>
              <w:t xml:space="preserve"> </w:t>
            </w:r>
            <w:r w:rsidRPr="00BF05C5">
              <w:rPr>
                <w:rFonts w:ascii="Arial" w:eastAsia="Times New Roman" w:hAnsi="Arial" w:cs="Arial"/>
                <w:i/>
                <w:lang w:eastAsia="es-ES"/>
              </w:rPr>
              <w:t>Análisis de la distribución geográfica actual y estado de conservación de la población de sapo corredor (</w:t>
            </w:r>
            <w:r w:rsidRPr="00BF05C5">
              <w:rPr>
                <w:rFonts w:ascii="Arial" w:eastAsia="Times New Roman" w:hAnsi="Arial" w:cs="Arial"/>
                <w:lang w:eastAsia="es-ES"/>
              </w:rPr>
              <w:t>Bufo calamita</w:t>
            </w:r>
            <w:r w:rsidRPr="00BF05C5">
              <w:rPr>
                <w:rFonts w:ascii="Arial" w:eastAsia="Times New Roman" w:hAnsi="Arial" w:cs="Arial"/>
                <w:i/>
                <w:lang w:eastAsia="es-ES"/>
              </w:rPr>
              <w:t>) del área de Txingudi</w:t>
            </w:r>
            <w:r w:rsidRPr="00BF05C5">
              <w:rPr>
                <w:rFonts w:ascii="Arial" w:eastAsia="Times New Roman" w:hAnsi="Arial" w:cs="Arial"/>
                <w:lang w:eastAsia="es-ES"/>
              </w:rPr>
              <w:t>. Sociedad de Ciencias Aranzadi. Departamento de Ordenación del Territorio y Medio Ambiente del Gobierno Vasco. Informe inédito.</w:t>
            </w:r>
          </w:p>
          <w:p w14:paraId="7BDBC537" w14:textId="77777777" w:rsidR="00B776B9" w:rsidRPr="00541789" w:rsidRDefault="00B776B9" w:rsidP="00B776B9">
            <w:pPr>
              <w:spacing w:line="360" w:lineRule="auto"/>
              <w:jc w:val="both"/>
              <w:rPr>
                <w:rFonts w:ascii="Arial" w:eastAsia="Times New Roman" w:hAnsi="Arial" w:cs="Arial"/>
                <w:lang w:val="en-US" w:eastAsia="es-ES"/>
              </w:rPr>
            </w:pPr>
            <w:r w:rsidRPr="0083047C">
              <w:rPr>
                <w:rFonts w:ascii="Arial" w:eastAsia="Times New Roman" w:hAnsi="Arial" w:cs="Arial"/>
                <w:smallCaps/>
                <w:lang w:eastAsia="es-ES"/>
              </w:rPr>
              <w:t>San Sebastián, O., Océn, M. &amp; Rubio, X. 2007.</w:t>
            </w:r>
            <w:r w:rsidRPr="00BF05C5">
              <w:rPr>
                <w:rFonts w:ascii="Arial" w:eastAsia="Times New Roman" w:hAnsi="Arial" w:cs="Arial"/>
                <w:lang w:eastAsia="es-ES"/>
              </w:rPr>
              <w:t xml:space="preserve"> </w:t>
            </w:r>
            <w:r w:rsidRPr="00BF05C5">
              <w:rPr>
                <w:rFonts w:ascii="Arial" w:eastAsia="Times New Roman" w:hAnsi="Arial" w:cs="Arial"/>
                <w:i/>
                <w:lang w:eastAsia="es-ES"/>
              </w:rPr>
              <w:t>Análisis del estado de distribución geográfica actual del sapo corredor (</w:t>
            </w:r>
            <w:r w:rsidRPr="00BF05C5">
              <w:rPr>
                <w:rFonts w:ascii="Arial" w:eastAsia="Times New Roman" w:hAnsi="Arial" w:cs="Arial"/>
                <w:lang w:eastAsia="es-ES"/>
              </w:rPr>
              <w:t>Bufo calamita</w:t>
            </w:r>
            <w:r w:rsidRPr="00BF05C5">
              <w:rPr>
                <w:rFonts w:ascii="Arial" w:eastAsia="Times New Roman" w:hAnsi="Arial" w:cs="Arial"/>
                <w:i/>
                <w:lang w:eastAsia="es-ES"/>
              </w:rPr>
              <w:t>) en la costa de Bizkaia</w:t>
            </w:r>
            <w:r w:rsidRPr="00BF05C5">
              <w:rPr>
                <w:rFonts w:ascii="Arial" w:eastAsia="Times New Roman" w:hAnsi="Arial" w:cs="Arial"/>
                <w:lang w:eastAsia="es-ES"/>
              </w:rPr>
              <w:t xml:space="preserve">. Sociedad de Ciencias Aranzadi. Departamento de Ordenación del Territorio y Medio Ambiente de la Diputación Foral de Bizkaia. </w:t>
            </w:r>
            <w:r w:rsidRPr="00541789">
              <w:rPr>
                <w:rFonts w:ascii="Arial" w:eastAsia="Times New Roman" w:hAnsi="Arial" w:cs="Arial"/>
                <w:lang w:val="en-US" w:eastAsia="es-ES"/>
              </w:rPr>
              <w:t>Informe inédito.</w:t>
            </w:r>
          </w:p>
          <w:p w14:paraId="3929C3B8" w14:textId="77777777" w:rsidR="00B776B9" w:rsidRPr="00541789" w:rsidRDefault="00B776B9" w:rsidP="00B776B9">
            <w:pPr>
              <w:spacing w:line="360" w:lineRule="auto"/>
              <w:jc w:val="both"/>
              <w:rPr>
                <w:rFonts w:ascii="Arial" w:eastAsia="Times New Roman" w:hAnsi="Arial" w:cs="Arial"/>
                <w:lang w:val="en-US" w:eastAsia="es-ES"/>
              </w:rPr>
            </w:pPr>
            <w:r w:rsidRPr="0083047C">
              <w:rPr>
                <w:rFonts w:ascii="Arial" w:eastAsia="Times New Roman" w:hAnsi="Arial" w:cs="Arial"/>
                <w:smallCaps/>
                <w:lang w:val="en-US" w:eastAsia="es-ES"/>
              </w:rPr>
              <w:t>Sinsch, U. 1988.</w:t>
            </w:r>
            <w:r w:rsidRPr="00BF05C5">
              <w:rPr>
                <w:rFonts w:ascii="Arial" w:eastAsia="Times New Roman" w:hAnsi="Arial" w:cs="Arial"/>
                <w:lang w:val="en-US" w:eastAsia="es-ES"/>
              </w:rPr>
              <w:t xml:space="preserve"> Temporal spacing of breeding activity in the natterjack toad, </w:t>
            </w:r>
            <w:r w:rsidRPr="00541789">
              <w:rPr>
                <w:rFonts w:ascii="Arial" w:eastAsia="Times New Roman" w:hAnsi="Arial" w:cs="Arial"/>
                <w:i/>
                <w:lang w:val="en-US" w:eastAsia="es-ES"/>
              </w:rPr>
              <w:t>Bufo calamita</w:t>
            </w:r>
            <w:r w:rsidRPr="00BF05C5">
              <w:rPr>
                <w:rFonts w:ascii="Arial" w:eastAsia="Times New Roman" w:hAnsi="Arial" w:cs="Arial"/>
                <w:lang w:val="en-US" w:eastAsia="es-ES"/>
              </w:rPr>
              <w:t xml:space="preserve">. </w:t>
            </w:r>
            <w:r w:rsidRPr="00B776B9">
              <w:rPr>
                <w:rFonts w:ascii="Arial" w:eastAsia="Times New Roman" w:hAnsi="Arial" w:cs="Arial"/>
                <w:i/>
                <w:lang w:val="en-US" w:eastAsia="es-ES"/>
              </w:rPr>
              <w:t>Oecologia</w:t>
            </w:r>
            <w:r w:rsidRPr="00541789">
              <w:rPr>
                <w:rFonts w:ascii="Arial" w:eastAsia="Times New Roman" w:hAnsi="Arial" w:cs="Arial"/>
                <w:lang w:val="en-US" w:eastAsia="es-ES"/>
              </w:rPr>
              <w:t>, 76: 399-407.</w:t>
            </w:r>
          </w:p>
          <w:p w14:paraId="124643B0" w14:textId="77777777" w:rsidR="00B776B9" w:rsidRPr="00541789" w:rsidRDefault="00B776B9" w:rsidP="00B776B9">
            <w:pPr>
              <w:spacing w:line="360" w:lineRule="auto"/>
              <w:jc w:val="both"/>
              <w:rPr>
                <w:rFonts w:ascii="Arial" w:eastAsia="Times New Roman" w:hAnsi="Arial" w:cs="Arial"/>
                <w:lang w:val="en-US" w:eastAsia="es-ES"/>
              </w:rPr>
            </w:pPr>
            <w:r w:rsidRPr="0083047C">
              <w:rPr>
                <w:rFonts w:ascii="Arial" w:eastAsia="Times New Roman" w:hAnsi="Arial" w:cs="Arial"/>
                <w:smallCaps/>
                <w:lang w:val="en-US" w:eastAsia="es-ES"/>
              </w:rPr>
              <w:t>Sinsch, U. 1992.</w:t>
            </w:r>
            <w:r w:rsidRPr="00BF05C5">
              <w:rPr>
                <w:rFonts w:ascii="Arial" w:eastAsia="Times New Roman" w:hAnsi="Arial" w:cs="Arial"/>
                <w:lang w:val="en-US" w:eastAsia="es-ES"/>
              </w:rPr>
              <w:t xml:space="preserve"> Structure and dynamic of a natterjack toad metapopulation (</w:t>
            </w:r>
            <w:r w:rsidRPr="00BF05C5">
              <w:rPr>
                <w:rFonts w:ascii="Arial" w:eastAsia="Times New Roman" w:hAnsi="Arial" w:cs="Arial"/>
                <w:i/>
                <w:lang w:val="en-US" w:eastAsia="es-ES"/>
              </w:rPr>
              <w:t>Bufo calamita</w:t>
            </w:r>
            <w:r w:rsidRPr="00BF05C5">
              <w:rPr>
                <w:rFonts w:ascii="Arial" w:eastAsia="Times New Roman" w:hAnsi="Arial" w:cs="Arial"/>
                <w:lang w:val="en-US" w:eastAsia="es-ES"/>
              </w:rPr>
              <w:t xml:space="preserve">). </w:t>
            </w:r>
            <w:r w:rsidRPr="00B776B9">
              <w:rPr>
                <w:rFonts w:ascii="Arial" w:eastAsia="Times New Roman" w:hAnsi="Arial" w:cs="Arial"/>
                <w:i/>
                <w:lang w:val="en-US" w:eastAsia="es-ES"/>
              </w:rPr>
              <w:t>Oecologia</w:t>
            </w:r>
            <w:r w:rsidRPr="00541789">
              <w:rPr>
                <w:rFonts w:ascii="Arial" w:eastAsia="Times New Roman" w:hAnsi="Arial" w:cs="Arial"/>
                <w:lang w:val="en-US" w:eastAsia="es-ES"/>
              </w:rPr>
              <w:t>, 90: 489-499.</w:t>
            </w:r>
          </w:p>
          <w:p w14:paraId="2C9F623F" w14:textId="77777777" w:rsidR="00B776B9" w:rsidRPr="00541789" w:rsidRDefault="00B776B9" w:rsidP="00B776B9">
            <w:pPr>
              <w:spacing w:line="360" w:lineRule="auto"/>
              <w:jc w:val="both"/>
              <w:rPr>
                <w:rFonts w:ascii="Arial" w:eastAsia="Times New Roman" w:hAnsi="Arial" w:cs="Arial"/>
                <w:lang w:val="en-US" w:eastAsia="es-ES"/>
              </w:rPr>
            </w:pPr>
            <w:r w:rsidRPr="0083047C">
              <w:rPr>
                <w:rFonts w:ascii="Arial" w:eastAsia="Times New Roman" w:hAnsi="Arial" w:cs="Arial"/>
                <w:smallCaps/>
                <w:lang w:val="en-US" w:eastAsia="es-ES"/>
              </w:rPr>
              <w:t>Sinsch, U. &amp; Seidel, D. 1995.</w:t>
            </w:r>
            <w:r w:rsidRPr="00BF05C5">
              <w:rPr>
                <w:rFonts w:ascii="Arial" w:eastAsia="Times New Roman" w:hAnsi="Arial" w:cs="Arial"/>
                <w:lang w:val="en-US" w:eastAsia="es-ES"/>
              </w:rPr>
              <w:t xml:space="preserve"> Dynamics of local and temporal breeding assemblages in a </w:t>
            </w:r>
            <w:r w:rsidRPr="00BF05C5">
              <w:rPr>
                <w:rFonts w:ascii="Arial" w:eastAsia="Times New Roman" w:hAnsi="Arial" w:cs="Arial"/>
                <w:i/>
                <w:lang w:val="en-US" w:eastAsia="es-ES"/>
              </w:rPr>
              <w:t>Bufo calamita</w:t>
            </w:r>
            <w:r w:rsidRPr="00BF05C5">
              <w:rPr>
                <w:rFonts w:ascii="Arial" w:eastAsia="Times New Roman" w:hAnsi="Arial" w:cs="Arial"/>
                <w:lang w:val="en-US" w:eastAsia="es-ES"/>
              </w:rPr>
              <w:t xml:space="preserve"> metapopulation. </w:t>
            </w:r>
            <w:r w:rsidRPr="00B776B9">
              <w:rPr>
                <w:rFonts w:ascii="Arial" w:eastAsia="Times New Roman" w:hAnsi="Arial" w:cs="Arial"/>
                <w:i/>
                <w:lang w:val="en-US" w:eastAsia="es-ES"/>
              </w:rPr>
              <w:t>Australian Journal of Ecology</w:t>
            </w:r>
            <w:r w:rsidRPr="00541789">
              <w:rPr>
                <w:rFonts w:ascii="Arial" w:eastAsia="Times New Roman" w:hAnsi="Arial" w:cs="Arial"/>
                <w:lang w:val="en-US" w:eastAsia="es-ES"/>
              </w:rPr>
              <w:t>, 20: 351-361.</w:t>
            </w:r>
          </w:p>
          <w:p w14:paraId="7988E446" w14:textId="3A03AA23" w:rsidR="00B776B9" w:rsidRDefault="00B776B9" w:rsidP="00B776B9">
            <w:pPr>
              <w:spacing w:line="360" w:lineRule="auto"/>
              <w:jc w:val="both"/>
              <w:rPr>
                <w:rFonts w:ascii="Arial" w:eastAsia="Times New Roman" w:hAnsi="Arial" w:cs="Arial"/>
                <w:lang w:eastAsia="es-ES"/>
              </w:rPr>
            </w:pPr>
            <w:r w:rsidRPr="0083047C">
              <w:rPr>
                <w:rFonts w:ascii="Arial" w:eastAsia="Times New Roman" w:hAnsi="Arial" w:cs="Arial"/>
                <w:smallCaps/>
                <w:lang w:val="en-US" w:eastAsia="es-ES"/>
              </w:rPr>
              <w:t>Stevens, V. M., Polus, E., Wesselingh, R. A., Schtickzelle, N</w:t>
            </w:r>
            <w:r w:rsidR="00F87E2A" w:rsidRPr="0083047C">
              <w:rPr>
                <w:rFonts w:ascii="Arial" w:eastAsia="Times New Roman" w:hAnsi="Arial" w:cs="Arial"/>
                <w:smallCaps/>
                <w:lang w:val="en-US" w:eastAsia="es-ES"/>
              </w:rPr>
              <w:t xml:space="preserve">. &amp; </w:t>
            </w:r>
            <w:r w:rsidRPr="0083047C">
              <w:rPr>
                <w:rFonts w:ascii="Arial" w:eastAsia="Times New Roman" w:hAnsi="Arial" w:cs="Arial"/>
                <w:smallCaps/>
                <w:lang w:val="en-US" w:eastAsia="es-ES"/>
              </w:rPr>
              <w:t>Baguette, M. 2004.</w:t>
            </w:r>
            <w:r w:rsidRPr="00BF05C5">
              <w:rPr>
                <w:rFonts w:ascii="Arial" w:eastAsia="Times New Roman" w:hAnsi="Arial" w:cs="Arial"/>
                <w:lang w:val="en-US" w:eastAsia="es-ES"/>
              </w:rPr>
              <w:t xml:space="preserve"> Quantifying functional connectivity: experimental evidence for patch-specific resistance in the Natterjack toad (</w:t>
            </w:r>
            <w:r w:rsidRPr="00BF05C5">
              <w:rPr>
                <w:rFonts w:ascii="Arial" w:eastAsia="Times New Roman" w:hAnsi="Arial" w:cs="Arial"/>
                <w:i/>
                <w:lang w:val="en-US" w:eastAsia="es-ES"/>
              </w:rPr>
              <w:t>Bufo calamita</w:t>
            </w:r>
            <w:r w:rsidRPr="00BF05C5">
              <w:rPr>
                <w:rFonts w:ascii="Arial" w:eastAsia="Times New Roman" w:hAnsi="Arial" w:cs="Arial"/>
                <w:lang w:val="en-US" w:eastAsia="es-ES"/>
              </w:rPr>
              <w:t xml:space="preserve">). </w:t>
            </w:r>
            <w:r w:rsidRPr="00B776B9">
              <w:rPr>
                <w:rFonts w:ascii="Arial" w:eastAsia="Times New Roman" w:hAnsi="Arial" w:cs="Arial"/>
                <w:i/>
                <w:lang w:eastAsia="es-ES"/>
              </w:rPr>
              <w:t>Landscape Ecology</w:t>
            </w:r>
            <w:r w:rsidRPr="00BF05C5">
              <w:rPr>
                <w:rFonts w:ascii="Arial" w:eastAsia="Times New Roman" w:hAnsi="Arial" w:cs="Arial"/>
                <w:lang w:eastAsia="es-ES"/>
              </w:rPr>
              <w:t>, 19: 829-842.</w:t>
            </w:r>
          </w:p>
          <w:p w14:paraId="13AA4605" w14:textId="2DB3A88F" w:rsidR="00B776B9" w:rsidRPr="00541789" w:rsidRDefault="00B776B9" w:rsidP="00B776B9">
            <w:pPr>
              <w:spacing w:line="360" w:lineRule="auto"/>
              <w:jc w:val="both"/>
              <w:rPr>
                <w:rFonts w:ascii="Arial" w:eastAsia="Times New Roman" w:hAnsi="Arial" w:cs="Arial"/>
                <w:lang w:val="en-US" w:eastAsia="es-ES"/>
              </w:rPr>
            </w:pPr>
            <w:r w:rsidRPr="0083047C">
              <w:rPr>
                <w:rFonts w:ascii="Arial" w:eastAsia="Times New Roman" w:hAnsi="Arial" w:cs="Arial"/>
                <w:smallCaps/>
                <w:lang w:val="en-US" w:eastAsia="es-ES"/>
              </w:rPr>
              <w:t>Stevens, V. M., Leboulenge, E., Wesselingh, R. A</w:t>
            </w:r>
            <w:r w:rsidR="00F87E2A" w:rsidRPr="0083047C">
              <w:rPr>
                <w:rFonts w:ascii="Arial" w:eastAsia="Times New Roman" w:hAnsi="Arial" w:cs="Arial"/>
                <w:smallCaps/>
                <w:lang w:val="en-US" w:eastAsia="es-ES"/>
              </w:rPr>
              <w:t xml:space="preserve">. &amp; </w:t>
            </w:r>
            <w:r w:rsidRPr="0083047C">
              <w:rPr>
                <w:rFonts w:ascii="Arial" w:eastAsia="Times New Roman" w:hAnsi="Arial" w:cs="Arial"/>
                <w:smallCaps/>
                <w:lang w:val="en-US" w:eastAsia="es-ES"/>
              </w:rPr>
              <w:t>Baguette, M. 2006.</w:t>
            </w:r>
            <w:r w:rsidRPr="00BF05C5">
              <w:rPr>
                <w:rFonts w:ascii="Arial" w:eastAsia="Times New Roman" w:hAnsi="Arial" w:cs="Arial"/>
                <w:lang w:val="en-US" w:eastAsia="es-ES"/>
              </w:rPr>
              <w:t xml:space="preserve"> Quantifying functional connectivity: experimental assessment of boundary permeability for the natterjack toad (</w:t>
            </w:r>
            <w:r w:rsidRPr="00BF05C5">
              <w:rPr>
                <w:rFonts w:ascii="Arial" w:eastAsia="Times New Roman" w:hAnsi="Arial" w:cs="Arial"/>
                <w:i/>
                <w:lang w:val="en-US" w:eastAsia="es-ES"/>
              </w:rPr>
              <w:t>Bufo calamita</w:t>
            </w:r>
            <w:r w:rsidRPr="00BF05C5">
              <w:rPr>
                <w:rFonts w:ascii="Arial" w:eastAsia="Times New Roman" w:hAnsi="Arial" w:cs="Arial"/>
                <w:lang w:val="en-US" w:eastAsia="es-ES"/>
              </w:rPr>
              <w:t xml:space="preserve">). </w:t>
            </w:r>
            <w:r w:rsidRPr="00B776B9">
              <w:rPr>
                <w:rFonts w:ascii="Arial" w:eastAsia="Times New Roman" w:hAnsi="Arial" w:cs="Arial"/>
                <w:i/>
                <w:lang w:val="en-US" w:eastAsia="es-ES"/>
              </w:rPr>
              <w:t>Oecologia</w:t>
            </w:r>
            <w:r w:rsidRPr="00541789">
              <w:rPr>
                <w:rFonts w:ascii="Arial" w:eastAsia="Times New Roman" w:hAnsi="Arial" w:cs="Arial"/>
                <w:lang w:val="en-US" w:eastAsia="es-ES"/>
              </w:rPr>
              <w:t>, 150: 161-171.</w:t>
            </w:r>
          </w:p>
          <w:p w14:paraId="65456B3B" w14:textId="2998D456" w:rsidR="00BF05C5" w:rsidRPr="00BF05C5" w:rsidRDefault="00B776B9" w:rsidP="00A71F4D">
            <w:pPr>
              <w:spacing w:after="160" w:line="360" w:lineRule="auto"/>
              <w:jc w:val="both"/>
              <w:rPr>
                <w:rFonts w:ascii="Arial" w:eastAsia="Times New Roman" w:hAnsi="Arial" w:cs="Arial"/>
                <w:lang w:eastAsia="es-ES"/>
              </w:rPr>
            </w:pPr>
            <w:r w:rsidRPr="0083047C">
              <w:rPr>
                <w:rFonts w:ascii="Arial" w:eastAsia="Times New Roman" w:hAnsi="Arial" w:cs="Arial"/>
                <w:smallCaps/>
                <w:lang w:eastAsia="es-ES"/>
              </w:rPr>
              <w:t>Tejado, C. &amp; Potes, E. 2014.</w:t>
            </w:r>
            <w:r w:rsidRPr="00BF05C5">
              <w:rPr>
                <w:rFonts w:ascii="Arial" w:eastAsia="Times New Roman" w:hAnsi="Arial" w:cs="Arial"/>
                <w:lang w:eastAsia="es-ES"/>
              </w:rPr>
              <w:t xml:space="preserve"> </w:t>
            </w:r>
            <w:r w:rsidRPr="00BF05C5">
              <w:rPr>
                <w:rFonts w:ascii="Arial" w:eastAsia="Times New Roman" w:hAnsi="Arial" w:cs="Arial"/>
                <w:i/>
                <w:lang w:eastAsia="es-ES"/>
              </w:rPr>
              <w:t>Áreas reproductivas para los Anfibios en La Rioja Alavesa</w:t>
            </w:r>
            <w:r w:rsidRPr="00BF05C5">
              <w:rPr>
                <w:rFonts w:ascii="Arial" w:eastAsia="Times New Roman" w:hAnsi="Arial" w:cs="Arial"/>
                <w:lang w:eastAsia="es-ES"/>
              </w:rPr>
              <w:t>. Instituto Alavés de la Naturaleza. Informe inédito.</w:t>
            </w:r>
          </w:p>
        </w:tc>
      </w:tr>
    </w:tbl>
    <w:p w14:paraId="2DD13EF2" w14:textId="2F08E868" w:rsidR="005302A2" w:rsidRPr="00E278D9" w:rsidRDefault="005302A2" w:rsidP="005302A2">
      <w:pPr>
        <w:spacing w:line="360" w:lineRule="auto"/>
        <w:jc w:val="both"/>
        <w:rPr>
          <w:rFonts w:ascii="Arial" w:eastAsia="Times New Roman" w:hAnsi="Arial" w:cs="Arial"/>
          <w:lang w:eastAsia="es-ES"/>
        </w:rPr>
      </w:pPr>
    </w:p>
    <w:sectPr w:rsidR="005302A2" w:rsidRPr="00E278D9">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CC4D3B"/>
    <w:multiLevelType w:val="hybridMultilevel"/>
    <w:tmpl w:val="62722F94"/>
    <w:lvl w:ilvl="0" w:tplc="0C0A0011">
      <w:start w:val="1"/>
      <w:numFmt w:val="decimal"/>
      <w:lvlText w:val="%1)"/>
      <w:lvlJc w:val="left"/>
      <w:pPr>
        <w:ind w:left="360" w:hanging="360"/>
      </w:pPr>
      <w:rPr>
        <w:rFonts w:hint="default"/>
      </w:rPr>
    </w:lvl>
    <w:lvl w:ilvl="1" w:tplc="CF7A3C30">
      <w:start w:val="1"/>
      <w:numFmt w:val="decimal"/>
      <w:lvlText w:val="(%2)"/>
      <w:lvlJc w:val="left"/>
      <w:pPr>
        <w:ind w:left="1080" w:hanging="360"/>
      </w:pPr>
      <w:rPr>
        <w:rFonts w:hint="default"/>
        <w:b/>
      </w:r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 w15:restartNumberingAfterBreak="0">
    <w:nsid w:val="12310B59"/>
    <w:multiLevelType w:val="hybridMultilevel"/>
    <w:tmpl w:val="F99C760C"/>
    <w:lvl w:ilvl="0" w:tplc="04C2C1CC">
      <w:start w:val="2"/>
      <w:numFmt w:val="bullet"/>
      <w:lvlText w:val="-"/>
      <w:lvlJc w:val="left"/>
      <w:pPr>
        <w:ind w:left="764" w:hanging="360"/>
      </w:pPr>
      <w:rPr>
        <w:rFonts w:ascii="Arial" w:eastAsiaTheme="minorHAnsi" w:hAnsi="Arial" w:cs="Arial" w:hint="default"/>
      </w:rPr>
    </w:lvl>
    <w:lvl w:ilvl="1" w:tplc="0C0A0003" w:tentative="1">
      <w:start w:val="1"/>
      <w:numFmt w:val="bullet"/>
      <w:lvlText w:val="o"/>
      <w:lvlJc w:val="left"/>
      <w:pPr>
        <w:ind w:left="1484" w:hanging="360"/>
      </w:pPr>
      <w:rPr>
        <w:rFonts w:ascii="Courier New" w:hAnsi="Courier New" w:cs="Courier New" w:hint="default"/>
      </w:rPr>
    </w:lvl>
    <w:lvl w:ilvl="2" w:tplc="0C0A0005" w:tentative="1">
      <w:start w:val="1"/>
      <w:numFmt w:val="bullet"/>
      <w:lvlText w:val=""/>
      <w:lvlJc w:val="left"/>
      <w:pPr>
        <w:ind w:left="2204" w:hanging="360"/>
      </w:pPr>
      <w:rPr>
        <w:rFonts w:ascii="Wingdings" w:hAnsi="Wingdings" w:hint="default"/>
      </w:rPr>
    </w:lvl>
    <w:lvl w:ilvl="3" w:tplc="0C0A0001" w:tentative="1">
      <w:start w:val="1"/>
      <w:numFmt w:val="bullet"/>
      <w:lvlText w:val=""/>
      <w:lvlJc w:val="left"/>
      <w:pPr>
        <w:ind w:left="2924" w:hanging="360"/>
      </w:pPr>
      <w:rPr>
        <w:rFonts w:ascii="Symbol" w:hAnsi="Symbol" w:hint="default"/>
      </w:rPr>
    </w:lvl>
    <w:lvl w:ilvl="4" w:tplc="0C0A0003" w:tentative="1">
      <w:start w:val="1"/>
      <w:numFmt w:val="bullet"/>
      <w:lvlText w:val="o"/>
      <w:lvlJc w:val="left"/>
      <w:pPr>
        <w:ind w:left="3644" w:hanging="360"/>
      </w:pPr>
      <w:rPr>
        <w:rFonts w:ascii="Courier New" w:hAnsi="Courier New" w:cs="Courier New" w:hint="default"/>
      </w:rPr>
    </w:lvl>
    <w:lvl w:ilvl="5" w:tplc="0C0A0005" w:tentative="1">
      <w:start w:val="1"/>
      <w:numFmt w:val="bullet"/>
      <w:lvlText w:val=""/>
      <w:lvlJc w:val="left"/>
      <w:pPr>
        <w:ind w:left="4364" w:hanging="360"/>
      </w:pPr>
      <w:rPr>
        <w:rFonts w:ascii="Wingdings" w:hAnsi="Wingdings" w:hint="default"/>
      </w:rPr>
    </w:lvl>
    <w:lvl w:ilvl="6" w:tplc="0C0A0001" w:tentative="1">
      <w:start w:val="1"/>
      <w:numFmt w:val="bullet"/>
      <w:lvlText w:val=""/>
      <w:lvlJc w:val="left"/>
      <w:pPr>
        <w:ind w:left="5084" w:hanging="360"/>
      </w:pPr>
      <w:rPr>
        <w:rFonts w:ascii="Symbol" w:hAnsi="Symbol" w:hint="default"/>
      </w:rPr>
    </w:lvl>
    <w:lvl w:ilvl="7" w:tplc="0C0A0003" w:tentative="1">
      <w:start w:val="1"/>
      <w:numFmt w:val="bullet"/>
      <w:lvlText w:val="o"/>
      <w:lvlJc w:val="left"/>
      <w:pPr>
        <w:ind w:left="5804" w:hanging="360"/>
      </w:pPr>
      <w:rPr>
        <w:rFonts w:ascii="Courier New" w:hAnsi="Courier New" w:cs="Courier New" w:hint="default"/>
      </w:rPr>
    </w:lvl>
    <w:lvl w:ilvl="8" w:tplc="0C0A0005" w:tentative="1">
      <w:start w:val="1"/>
      <w:numFmt w:val="bullet"/>
      <w:lvlText w:val=""/>
      <w:lvlJc w:val="left"/>
      <w:pPr>
        <w:ind w:left="6524" w:hanging="360"/>
      </w:pPr>
      <w:rPr>
        <w:rFonts w:ascii="Wingdings" w:hAnsi="Wingdings" w:hint="default"/>
      </w:rPr>
    </w:lvl>
  </w:abstractNum>
  <w:abstractNum w:abstractNumId="2" w15:restartNumberingAfterBreak="0">
    <w:nsid w:val="1AA616E2"/>
    <w:multiLevelType w:val="hybridMultilevel"/>
    <w:tmpl w:val="3670E46E"/>
    <w:lvl w:ilvl="0" w:tplc="0C0A0001">
      <w:start w:val="1"/>
      <w:numFmt w:val="bullet"/>
      <w:lvlText w:val=""/>
      <w:lvlJc w:val="left"/>
      <w:pPr>
        <w:ind w:left="927" w:hanging="360"/>
      </w:pPr>
      <w:rPr>
        <w:rFonts w:ascii="Symbol" w:hAnsi="Symbol" w:hint="default"/>
      </w:rPr>
    </w:lvl>
    <w:lvl w:ilvl="1" w:tplc="0C0A0003" w:tentative="1">
      <w:start w:val="1"/>
      <w:numFmt w:val="bullet"/>
      <w:lvlText w:val="o"/>
      <w:lvlJc w:val="left"/>
      <w:pPr>
        <w:ind w:left="1647" w:hanging="360"/>
      </w:pPr>
      <w:rPr>
        <w:rFonts w:ascii="Courier New" w:hAnsi="Courier New" w:cs="Courier New" w:hint="default"/>
      </w:rPr>
    </w:lvl>
    <w:lvl w:ilvl="2" w:tplc="0C0A0005" w:tentative="1">
      <w:start w:val="1"/>
      <w:numFmt w:val="bullet"/>
      <w:lvlText w:val=""/>
      <w:lvlJc w:val="left"/>
      <w:pPr>
        <w:ind w:left="2367" w:hanging="360"/>
      </w:pPr>
      <w:rPr>
        <w:rFonts w:ascii="Wingdings" w:hAnsi="Wingdings" w:hint="default"/>
      </w:rPr>
    </w:lvl>
    <w:lvl w:ilvl="3" w:tplc="0C0A0001" w:tentative="1">
      <w:start w:val="1"/>
      <w:numFmt w:val="bullet"/>
      <w:lvlText w:val=""/>
      <w:lvlJc w:val="left"/>
      <w:pPr>
        <w:ind w:left="3087" w:hanging="360"/>
      </w:pPr>
      <w:rPr>
        <w:rFonts w:ascii="Symbol" w:hAnsi="Symbol" w:hint="default"/>
      </w:rPr>
    </w:lvl>
    <w:lvl w:ilvl="4" w:tplc="0C0A0003" w:tentative="1">
      <w:start w:val="1"/>
      <w:numFmt w:val="bullet"/>
      <w:lvlText w:val="o"/>
      <w:lvlJc w:val="left"/>
      <w:pPr>
        <w:ind w:left="3807" w:hanging="360"/>
      </w:pPr>
      <w:rPr>
        <w:rFonts w:ascii="Courier New" w:hAnsi="Courier New" w:cs="Courier New" w:hint="default"/>
      </w:rPr>
    </w:lvl>
    <w:lvl w:ilvl="5" w:tplc="0C0A0005" w:tentative="1">
      <w:start w:val="1"/>
      <w:numFmt w:val="bullet"/>
      <w:lvlText w:val=""/>
      <w:lvlJc w:val="left"/>
      <w:pPr>
        <w:ind w:left="4527" w:hanging="360"/>
      </w:pPr>
      <w:rPr>
        <w:rFonts w:ascii="Wingdings" w:hAnsi="Wingdings" w:hint="default"/>
      </w:rPr>
    </w:lvl>
    <w:lvl w:ilvl="6" w:tplc="0C0A0001" w:tentative="1">
      <w:start w:val="1"/>
      <w:numFmt w:val="bullet"/>
      <w:lvlText w:val=""/>
      <w:lvlJc w:val="left"/>
      <w:pPr>
        <w:ind w:left="5247" w:hanging="360"/>
      </w:pPr>
      <w:rPr>
        <w:rFonts w:ascii="Symbol" w:hAnsi="Symbol" w:hint="default"/>
      </w:rPr>
    </w:lvl>
    <w:lvl w:ilvl="7" w:tplc="0C0A0003" w:tentative="1">
      <w:start w:val="1"/>
      <w:numFmt w:val="bullet"/>
      <w:lvlText w:val="o"/>
      <w:lvlJc w:val="left"/>
      <w:pPr>
        <w:ind w:left="5967" w:hanging="360"/>
      </w:pPr>
      <w:rPr>
        <w:rFonts w:ascii="Courier New" w:hAnsi="Courier New" w:cs="Courier New" w:hint="default"/>
      </w:rPr>
    </w:lvl>
    <w:lvl w:ilvl="8" w:tplc="0C0A0005" w:tentative="1">
      <w:start w:val="1"/>
      <w:numFmt w:val="bullet"/>
      <w:lvlText w:val=""/>
      <w:lvlJc w:val="left"/>
      <w:pPr>
        <w:ind w:left="6687" w:hanging="360"/>
      </w:pPr>
      <w:rPr>
        <w:rFonts w:ascii="Wingdings" w:hAnsi="Wingdings" w:hint="default"/>
      </w:rPr>
    </w:lvl>
  </w:abstractNum>
  <w:abstractNum w:abstractNumId="3" w15:restartNumberingAfterBreak="0">
    <w:nsid w:val="233147A6"/>
    <w:multiLevelType w:val="hybridMultilevel"/>
    <w:tmpl w:val="4614C756"/>
    <w:lvl w:ilvl="0" w:tplc="04C2C1CC">
      <w:start w:val="2"/>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24046836"/>
    <w:multiLevelType w:val="hybridMultilevel"/>
    <w:tmpl w:val="4802EBF6"/>
    <w:lvl w:ilvl="0" w:tplc="48E00AA6">
      <w:start w:val="1"/>
      <w:numFmt w:val="bullet"/>
      <w:lvlText w:val=""/>
      <w:lvlJc w:val="left"/>
      <w:pPr>
        <w:ind w:left="720" w:hanging="360"/>
      </w:pPr>
      <w:rPr>
        <w:rFonts w:ascii="Symbol" w:hAnsi="Symbol" w:hint="default"/>
        <w:sz w:val="2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3C32031C"/>
    <w:multiLevelType w:val="hybridMultilevel"/>
    <w:tmpl w:val="CED6A812"/>
    <w:lvl w:ilvl="0" w:tplc="48E00AA6">
      <w:start w:val="1"/>
      <w:numFmt w:val="bullet"/>
      <w:lvlText w:val=""/>
      <w:lvlJc w:val="left"/>
      <w:pPr>
        <w:ind w:left="934" w:hanging="360"/>
      </w:pPr>
      <w:rPr>
        <w:rFonts w:ascii="Symbol" w:hAnsi="Symbol" w:hint="default"/>
        <w:sz w:val="20"/>
      </w:rPr>
    </w:lvl>
    <w:lvl w:ilvl="1" w:tplc="0C0A0003" w:tentative="1">
      <w:start w:val="1"/>
      <w:numFmt w:val="bullet"/>
      <w:lvlText w:val="o"/>
      <w:lvlJc w:val="left"/>
      <w:pPr>
        <w:ind w:left="1654" w:hanging="360"/>
      </w:pPr>
      <w:rPr>
        <w:rFonts w:ascii="Courier New" w:hAnsi="Courier New" w:cs="Courier New" w:hint="default"/>
      </w:rPr>
    </w:lvl>
    <w:lvl w:ilvl="2" w:tplc="0C0A0005" w:tentative="1">
      <w:start w:val="1"/>
      <w:numFmt w:val="bullet"/>
      <w:lvlText w:val=""/>
      <w:lvlJc w:val="left"/>
      <w:pPr>
        <w:ind w:left="2374" w:hanging="360"/>
      </w:pPr>
      <w:rPr>
        <w:rFonts w:ascii="Wingdings" w:hAnsi="Wingdings" w:hint="default"/>
      </w:rPr>
    </w:lvl>
    <w:lvl w:ilvl="3" w:tplc="0C0A0001" w:tentative="1">
      <w:start w:val="1"/>
      <w:numFmt w:val="bullet"/>
      <w:lvlText w:val=""/>
      <w:lvlJc w:val="left"/>
      <w:pPr>
        <w:ind w:left="3094" w:hanging="360"/>
      </w:pPr>
      <w:rPr>
        <w:rFonts w:ascii="Symbol" w:hAnsi="Symbol" w:hint="default"/>
      </w:rPr>
    </w:lvl>
    <w:lvl w:ilvl="4" w:tplc="0C0A0003" w:tentative="1">
      <w:start w:val="1"/>
      <w:numFmt w:val="bullet"/>
      <w:lvlText w:val="o"/>
      <w:lvlJc w:val="left"/>
      <w:pPr>
        <w:ind w:left="3814" w:hanging="360"/>
      </w:pPr>
      <w:rPr>
        <w:rFonts w:ascii="Courier New" w:hAnsi="Courier New" w:cs="Courier New" w:hint="default"/>
      </w:rPr>
    </w:lvl>
    <w:lvl w:ilvl="5" w:tplc="0C0A0005" w:tentative="1">
      <w:start w:val="1"/>
      <w:numFmt w:val="bullet"/>
      <w:lvlText w:val=""/>
      <w:lvlJc w:val="left"/>
      <w:pPr>
        <w:ind w:left="4534" w:hanging="360"/>
      </w:pPr>
      <w:rPr>
        <w:rFonts w:ascii="Wingdings" w:hAnsi="Wingdings" w:hint="default"/>
      </w:rPr>
    </w:lvl>
    <w:lvl w:ilvl="6" w:tplc="0C0A0001" w:tentative="1">
      <w:start w:val="1"/>
      <w:numFmt w:val="bullet"/>
      <w:lvlText w:val=""/>
      <w:lvlJc w:val="left"/>
      <w:pPr>
        <w:ind w:left="5254" w:hanging="360"/>
      </w:pPr>
      <w:rPr>
        <w:rFonts w:ascii="Symbol" w:hAnsi="Symbol" w:hint="default"/>
      </w:rPr>
    </w:lvl>
    <w:lvl w:ilvl="7" w:tplc="0C0A0003" w:tentative="1">
      <w:start w:val="1"/>
      <w:numFmt w:val="bullet"/>
      <w:lvlText w:val="o"/>
      <w:lvlJc w:val="left"/>
      <w:pPr>
        <w:ind w:left="5974" w:hanging="360"/>
      </w:pPr>
      <w:rPr>
        <w:rFonts w:ascii="Courier New" w:hAnsi="Courier New" w:cs="Courier New" w:hint="default"/>
      </w:rPr>
    </w:lvl>
    <w:lvl w:ilvl="8" w:tplc="0C0A0005" w:tentative="1">
      <w:start w:val="1"/>
      <w:numFmt w:val="bullet"/>
      <w:lvlText w:val=""/>
      <w:lvlJc w:val="left"/>
      <w:pPr>
        <w:ind w:left="6694" w:hanging="360"/>
      </w:pPr>
      <w:rPr>
        <w:rFonts w:ascii="Wingdings" w:hAnsi="Wingdings" w:hint="default"/>
      </w:rPr>
    </w:lvl>
  </w:abstractNum>
  <w:abstractNum w:abstractNumId="6" w15:restartNumberingAfterBreak="0">
    <w:nsid w:val="3F8C2712"/>
    <w:multiLevelType w:val="hybridMultilevel"/>
    <w:tmpl w:val="EBC68A94"/>
    <w:lvl w:ilvl="0" w:tplc="28C44114">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49B91304"/>
    <w:multiLevelType w:val="hybridMultilevel"/>
    <w:tmpl w:val="7B84F08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4EFA0613"/>
    <w:multiLevelType w:val="hybridMultilevel"/>
    <w:tmpl w:val="E2A67972"/>
    <w:lvl w:ilvl="0" w:tplc="0C0A0001">
      <w:start w:val="1"/>
      <w:numFmt w:val="bullet"/>
      <w:lvlText w:val=""/>
      <w:lvlJc w:val="left"/>
      <w:pPr>
        <w:ind w:left="764" w:hanging="360"/>
      </w:pPr>
      <w:rPr>
        <w:rFonts w:ascii="Symbol" w:hAnsi="Symbol" w:hint="default"/>
      </w:rPr>
    </w:lvl>
    <w:lvl w:ilvl="1" w:tplc="0C0A0003" w:tentative="1">
      <w:start w:val="1"/>
      <w:numFmt w:val="bullet"/>
      <w:lvlText w:val="o"/>
      <w:lvlJc w:val="left"/>
      <w:pPr>
        <w:ind w:left="1484" w:hanging="360"/>
      </w:pPr>
      <w:rPr>
        <w:rFonts w:ascii="Courier New" w:hAnsi="Courier New" w:cs="Courier New" w:hint="default"/>
      </w:rPr>
    </w:lvl>
    <w:lvl w:ilvl="2" w:tplc="0C0A0005" w:tentative="1">
      <w:start w:val="1"/>
      <w:numFmt w:val="bullet"/>
      <w:lvlText w:val=""/>
      <w:lvlJc w:val="left"/>
      <w:pPr>
        <w:ind w:left="2204" w:hanging="360"/>
      </w:pPr>
      <w:rPr>
        <w:rFonts w:ascii="Wingdings" w:hAnsi="Wingdings" w:hint="default"/>
      </w:rPr>
    </w:lvl>
    <w:lvl w:ilvl="3" w:tplc="0C0A0001" w:tentative="1">
      <w:start w:val="1"/>
      <w:numFmt w:val="bullet"/>
      <w:lvlText w:val=""/>
      <w:lvlJc w:val="left"/>
      <w:pPr>
        <w:ind w:left="2924" w:hanging="360"/>
      </w:pPr>
      <w:rPr>
        <w:rFonts w:ascii="Symbol" w:hAnsi="Symbol" w:hint="default"/>
      </w:rPr>
    </w:lvl>
    <w:lvl w:ilvl="4" w:tplc="0C0A0003" w:tentative="1">
      <w:start w:val="1"/>
      <w:numFmt w:val="bullet"/>
      <w:lvlText w:val="o"/>
      <w:lvlJc w:val="left"/>
      <w:pPr>
        <w:ind w:left="3644" w:hanging="360"/>
      </w:pPr>
      <w:rPr>
        <w:rFonts w:ascii="Courier New" w:hAnsi="Courier New" w:cs="Courier New" w:hint="default"/>
      </w:rPr>
    </w:lvl>
    <w:lvl w:ilvl="5" w:tplc="0C0A0005" w:tentative="1">
      <w:start w:val="1"/>
      <w:numFmt w:val="bullet"/>
      <w:lvlText w:val=""/>
      <w:lvlJc w:val="left"/>
      <w:pPr>
        <w:ind w:left="4364" w:hanging="360"/>
      </w:pPr>
      <w:rPr>
        <w:rFonts w:ascii="Wingdings" w:hAnsi="Wingdings" w:hint="default"/>
      </w:rPr>
    </w:lvl>
    <w:lvl w:ilvl="6" w:tplc="0C0A0001" w:tentative="1">
      <w:start w:val="1"/>
      <w:numFmt w:val="bullet"/>
      <w:lvlText w:val=""/>
      <w:lvlJc w:val="left"/>
      <w:pPr>
        <w:ind w:left="5084" w:hanging="360"/>
      </w:pPr>
      <w:rPr>
        <w:rFonts w:ascii="Symbol" w:hAnsi="Symbol" w:hint="default"/>
      </w:rPr>
    </w:lvl>
    <w:lvl w:ilvl="7" w:tplc="0C0A0003" w:tentative="1">
      <w:start w:val="1"/>
      <w:numFmt w:val="bullet"/>
      <w:lvlText w:val="o"/>
      <w:lvlJc w:val="left"/>
      <w:pPr>
        <w:ind w:left="5804" w:hanging="360"/>
      </w:pPr>
      <w:rPr>
        <w:rFonts w:ascii="Courier New" w:hAnsi="Courier New" w:cs="Courier New" w:hint="default"/>
      </w:rPr>
    </w:lvl>
    <w:lvl w:ilvl="8" w:tplc="0C0A0005" w:tentative="1">
      <w:start w:val="1"/>
      <w:numFmt w:val="bullet"/>
      <w:lvlText w:val=""/>
      <w:lvlJc w:val="left"/>
      <w:pPr>
        <w:ind w:left="6524" w:hanging="360"/>
      </w:pPr>
      <w:rPr>
        <w:rFonts w:ascii="Wingdings" w:hAnsi="Wingdings" w:hint="default"/>
      </w:rPr>
    </w:lvl>
  </w:abstractNum>
  <w:abstractNum w:abstractNumId="9" w15:restartNumberingAfterBreak="0">
    <w:nsid w:val="50202D26"/>
    <w:multiLevelType w:val="hybridMultilevel"/>
    <w:tmpl w:val="8E26D35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61EF5925"/>
    <w:multiLevelType w:val="hybridMultilevel"/>
    <w:tmpl w:val="40320E7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63BC60D9"/>
    <w:multiLevelType w:val="hybridMultilevel"/>
    <w:tmpl w:val="AE08053A"/>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2" w15:restartNumberingAfterBreak="0">
    <w:nsid w:val="6F87690A"/>
    <w:multiLevelType w:val="hybridMultilevel"/>
    <w:tmpl w:val="A9082B70"/>
    <w:lvl w:ilvl="0" w:tplc="0C0A0015">
      <w:start w:val="1"/>
      <w:numFmt w:val="upp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6FDC08B8"/>
    <w:multiLevelType w:val="hybridMultilevel"/>
    <w:tmpl w:val="7B12C5C4"/>
    <w:lvl w:ilvl="0" w:tplc="04C2C1CC">
      <w:start w:val="2"/>
      <w:numFmt w:val="bullet"/>
      <w:lvlText w:val="-"/>
      <w:lvlJc w:val="left"/>
      <w:pPr>
        <w:ind w:left="720" w:hanging="360"/>
      </w:pPr>
      <w:rPr>
        <w:rFonts w:ascii="Arial" w:eastAsiaTheme="minorHAnsi"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702763D5"/>
    <w:multiLevelType w:val="hybridMultilevel"/>
    <w:tmpl w:val="777EBC0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720A3875"/>
    <w:multiLevelType w:val="hybridMultilevel"/>
    <w:tmpl w:val="3FA86D8E"/>
    <w:lvl w:ilvl="0" w:tplc="0C0A0001">
      <w:start w:val="1"/>
      <w:numFmt w:val="bullet"/>
      <w:lvlText w:val=""/>
      <w:lvlJc w:val="left"/>
      <w:pPr>
        <w:ind w:left="2880" w:hanging="360"/>
      </w:pPr>
      <w:rPr>
        <w:rFonts w:ascii="Symbol" w:hAnsi="Symbol" w:hint="default"/>
      </w:rPr>
    </w:lvl>
    <w:lvl w:ilvl="1" w:tplc="0C0A0003" w:tentative="1">
      <w:start w:val="1"/>
      <w:numFmt w:val="bullet"/>
      <w:lvlText w:val="o"/>
      <w:lvlJc w:val="left"/>
      <w:pPr>
        <w:ind w:left="3600" w:hanging="360"/>
      </w:pPr>
      <w:rPr>
        <w:rFonts w:ascii="Courier New" w:hAnsi="Courier New" w:cs="Courier New" w:hint="default"/>
      </w:rPr>
    </w:lvl>
    <w:lvl w:ilvl="2" w:tplc="0C0A0005" w:tentative="1">
      <w:start w:val="1"/>
      <w:numFmt w:val="bullet"/>
      <w:lvlText w:val=""/>
      <w:lvlJc w:val="left"/>
      <w:pPr>
        <w:ind w:left="4320" w:hanging="360"/>
      </w:pPr>
      <w:rPr>
        <w:rFonts w:ascii="Wingdings" w:hAnsi="Wingdings" w:hint="default"/>
      </w:rPr>
    </w:lvl>
    <w:lvl w:ilvl="3" w:tplc="0C0A0001" w:tentative="1">
      <w:start w:val="1"/>
      <w:numFmt w:val="bullet"/>
      <w:lvlText w:val=""/>
      <w:lvlJc w:val="left"/>
      <w:pPr>
        <w:ind w:left="5040" w:hanging="360"/>
      </w:pPr>
      <w:rPr>
        <w:rFonts w:ascii="Symbol" w:hAnsi="Symbol" w:hint="default"/>
      </w:rPr>
    </w:lvl>
    <w:lvl w:ilvl="4" w:tplc="0C0A0003" w:tentative="1">
      <w:start w:val="1"/>
      <w:numFmt w:val="bullet"/>
      <w:lvlText w:val="o"/>
      <w:lvlJc w:val="left"/>
      <w:pPr>
        <w:ind w:left="5760" w:hanging="360"/>
      </w:pPr>
      <w:rPr>
        <w:rFonts w:ascii="Courier New" w:hAnsi="Courier New" w:cs="Courier New" w:hint="default"/>
      </w:rPr>
    </w:lvl>
    <w:lvl w:ilvl="5" w:tplc="0C0A0005" w:tentative="1">
      <w:start w:val="1"/>
      <w:numFmt w:val="bullet"/>
      <w:lvlText w:val=""/>
      <w:lvlJc w:val="left"/>
      <w:pPr>
        <w:ind w:left="6480" w:hanging="360"/>
      </w:pPr>
      <w:rPr>
        <w:rFonts w:ascii="Wingdings" w:hAnsi="Wingdings" w:hint="default"/>
      </w:rPr>
    </w:lvl>
    <w:lvl w:ilvl="6" w:tplc="0C0A0001" w:tentative="1">
      <w:start w:val="1"/>
      <w:numFmt w:val="bullet"/>
      <w:lvlText w:val=""/>
      <w:lvlJc w:val="left"/>
      <w:pPr>
        <w:ind w:left="7200" w:hanging="360"/>
      </w:pPr>
      <w:rPr>
        <w:rFonts w:ascii="Symbol" w:hAnsi="Symbol" w:hint="default"/>
      </w:rPr>
    </w:lvl>
    <w:lvl w:ilvl="7" w:tplc="0C0A0003" w:tentative="1">
      <w:start w:val="1"/>
      <w:numFmt w:val="bullet"/>
      <w:lvlText w:val="o"/>
      <w:lvlJc w:val="left"/>
      <w:pPr>
        <w:ind w:left="7920" w:hanging="360"/>
      </w:pPr>
      <w:rPr>
        <w:rFonts w:ascii="Courier New" w:hAnsi="Courier New" w:cs="Courier New" w:hint="default"/>
      </w:rPr>
    </w:lvl>
    <w:lvl w:ilvl="8" w:tplc="0C0A0005" w:tentative="1">
      <w:start w:val="1"/>
      <w:numFmt w:val="bullet"/>
      <w:lvlText w:val=""/>
      <w:lvlJc w:val="left"/>
      <w:pPr>
        <w:ind w:left="8640" w:hanging="360"/>
      </w:pPr>
      <w:rPr>
        <w:rFonts w:ascii="Wingdings" w:hAnsi="Wingdings" w:hint="default"/>
      </w:rPr>
    </w:lvl>
  </w:abstractNum>
  <w:abstractNum w:abstractNumId="16" w15:restartNumberingAfterBreak="0">
    <w:nsid w:val="7C8B35F6"/>
    <w:multiLevelType w:val="hybridMultilevel"/>
    <w:tmpl w:val="B92A0C76"/>
    <w:lvl w:ilvl="0" w:tplc="04C2C1CC">
      <w:start w:val="2"/>
      <w:numFmt w:val="bullet"/>
      <w:lvlText w:val="-"/>
      <w:lvlJc w:val="left"/>
      <w:pPr>
        <w:ind w:left="756" w:hanging="360"/>
      </w:pPr>
      <w:rPr>
        <w:rFonts w:ascii="Arial" w:eastAsiaTheme="minorHAnsi" w:hAnsi="Arial" w:cs="Arial" w:hint="default"/>
      </w:rPr>
    </w:lvl>
    <w:lvl w:ilvl="1" w:tplc="0C0A0003" w:tentative="1">
      <w:start w:val="1"/>
      <w:numFmt w:val="bullet"/>
      <w:lvlText w:val="o"/>
      <w:lvlJc w:val="left"/>
      <w:pPr>
        <w:ind w:left="1476" w:hanging="360"/>
      </w:pPr>
      <w:rPr>
        <w:rFonts w:ascii="Courier New" w:hAnsi="Courier New" w:cs="Courier New" w:hint="default"/>
      </w:rPr>
    </w:lvl>
    <w:lvl w:ilvl="2" w:tplc="0C0A0005" w:tentative="1">
      <w:start w:val="1"/>
      <w:numFmt w:val="bullet"/>
      <w:lvlText w:val=""/>
      <w:lvlJc w:val="left"/>
      <w:pPr>
        <w:ind w:left="2196" w:hanging="360"/>
      </w:pPr>
      <w:rPr>
        <w:rFonts w:ascii="Wingdings" w:hAnsi="Wingdings" w:hint="default"/>
      </w:rPr>
    </w:lvl>
    <w:lvl w:ilvl="3" w:tplc="0C0A0001" w:tentative="1">
      <w:start w:val="1"/>
      <w:numFmt w:val="bullet"/>
      <w:lvlText w:val=""/>
      <w:lvlJc w:val="left"/>
      <w:pPr>
        <w:ind w:left="2916" w:hanging="360"/>
      </w:pPr>
      <w:rPr>
        <w:rFonts w:ascii="Symbol" w:hAnsi="Symbol" w:hint="default"/>
      </w:rPr>
    </w:lvl>
    <w:lvl w:ilvl="4" w:tplc="0C0A0003" w:tentative="1">
      <w:start w:val="1"/>
      <w:numFmt w:val="bullet"/>
      <w:lvlText w:val="o"/>
      <w:lvlJc w:val="left"/>
      <w:pPr>
        <w:ind w:left="3636" w:hanging="360"/>
      </w:pPr>
      <w:rPr>
        <w:rFonts w:ascii="Courier New" w:hAnsi="Courier New" w:cs="Courier New" w:hint="default"/>
      </w:rPr>
    </w:lvl>
    <w:lvl w:ilvl="5" w:tplc="0C0A0005" w:tentative="1">
      <w:start w:val="1"/>
      <w:numFmt w:val="bullet"/>
      <w:lvlText w:val=""/>
      <w:lvlJc w:val="left"/>
      <w:pPr>
        <w:ind w:left="4356" w:hanging="360"/>
      </w:pPr>
      <w:rPr>
        <w:rFonts w:ascii="Wingdings" w:hAnsi="Wingdings" w:hint="default"/>
      </w:rPr>
    </w:lvl>
    <w:lvl w:ilvl="6" w:tplc="0C0A0001" w:tentative="1">
      <w:start w:val="1"/>
      <w:numFmt w:val="bullet"/>
      <w:lvlText w:val=""/>
      <w:lvlJc w:val="left"/>
      <w:pPr>
        <w:ind w:left="5076" w:hanging="360"/>
      </w:pPr>
      <w:rPr>
        <w:rFonts w:ascii="Symbol" w:hAnsi="Symbol" w:hint="default"/>
      </w:rPr>
    </w:lvl>
    <w:lvl w:ilvl="7" w:tplc="0C0A0003" w:tentative="1">
      <w:start w:val="1"/>
      <w:numFmt w:val="bullet"/>
      <w:lvlText w:val="o"/>
      <w:lvlJc w:val="left"/>
      <w:pPr>
        <w:ind w:left="5796" w:hanging="360"/>
      </w:pPr>
      <w:rPr>
        <w:rFonts w:ascii="Courier New" w:hAnsi="Courier New" w:cs="Courier New" w:hint="default"/>
      </w:rPr>
    </w:lvl>
    <w:lvl w:ilvl="8" w:tplc="0C0A0005" w:tentative="1">
      <w:start w:val="1"/>
      <w:numFmt w:val="bullet"/>
      <w:lvlText w:val=""/>
      <w:lvlJc w:val="left"/>
      <w:pPr>
        <w:ind w:left="6516" w:hanging="360"/>
      </w:pPr>
      <w:rPr>
        <w:rFonts w:ascii="Wingdings" w:hAnsi="Wingdings" w:hint="default"/>
      </w:rPr>
    </w:lvl>
  </w:abstractNum>
  <w:num w:numId="1">
    <w:abstractNumId w:val="7"/>
  </w:num>
  <w:num w:numId="2">
    <w:abstractNumId w:val="0"/>
  </w:num>
  <w:num w:numId="3">
    <w:abstractNumId w:val="11"/>
  </w:num>
  <w:num w:numId="4">
    <w:abstractNumId w:val="2"/>
  </w:num>
  <w:num w:numId="5">
    <w:abstractNumId w:val="10"/>
  </w:num>
  <w:num w:numId="6">
    <w:abstractNumId w:val="14"/>
  </w:num>
  <w:num w:numId="7">
    <w:abstractNumId w:val="3"/>
  </w:num>
  <w:num w:numId="8">
    <w:abstractNumId w:val="9"/>
  </w:num>
  <w:num w:numId="9">
    <w:abstractNumId w:val="13"/>
  </w:num>
  <w:num w:numId="10">
    <w:abstractNumId w:val="16"/>
  </w:num>
  <w:num w:numId="11">
    <w:abstractNumId w:val="5"/>
  </w:num>
  <w:num w:numId="12">
    <w:abstractNumId w:val="4"/>
  </w:num>
  <w:num w:numId="13">
    <w:abstractNumId w:val="8"/>
  </w:num>
  <w:num w:numId="14">
    <w:abstractNumId w:val="6"/>
  </w:num>
  <w:num w:numId="15">
    <w:abstractNumId w:val="1"/>
  </w:num>
  <w:num w:numId="16">
    <w:abstractNumId w:val="15"/>
  </w:num>
  <w:num w:numId="1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2C9F"/>
    <w:rsid w:val="00026F21"/>
    <w:rsid w:val="00054315"/>
    <w:rsid w:val="000773DC"/>
    <w:rsid w:val="0009550C"/>
    <w:rsid w:val="000C28C6"/>
    <w:rsid w:val="000F4145"/>
    <w:rsid w:val="000F6712"/>
    <w:rsid w:val="0010223D"/>
    <w:rsid w:val="00115808"/>
    <w:rsid w:val="001337DD"/>
    <w:rsid w:val="001A1482"/>
    <w:rsid w:val="001E502C"/>
    <w:rsid w:val="001E5B27"/>
    <w:rsid w:val="001F3C22"/>
    <w:rsid w:val="001F6CF8"/>
    <w:rsid w:val="00204D28"/>
    <w:rsid w:val="00227E37"/>
    <w:rsid w:val="00235D92"/>
    <w:rsid w:val="00246498"/>
    <w:rsid w:val="00287A41"/>
    <w:rsid w:val="002C662E"/>
    <w:rsid w:val="002D0A26"/>
    <w:rsid w:val="002D5983"/>
    <w:rsid w:val="002E4CDC"/>
    <w:rsid w:val="002F0411"/>
    <w:rsid w:val="00347989"/>
    <w:rsid w:val="0037769B"/>
    <w:rsid w:val="00383B3B"/>
    <w:rsid w:val="00385E63"/>
    <w:rsid w:val="00391534"/>
    <w:rsid w:val="003B0601"/>
    <w:rsid w:val="003D1A2E"/>
    <w:rsid w:val="003E2C9F"/>
    <w:rsid w:val="003E37CA"/>
    <w:rsid w:val="003F453F"/>
    <w:rsid w:val="00404E83"/>
    <w:rsid w:val="00424C44"/>
    <w:rsid w:val="00443F83"/>
    <w:rsid w:val="004460C3"/>
    <w:rsid w:val="00470DB2"/>
    <w:rsid w:val="004D71D8"/>
    <w:rsid w:val="004E0837"/>
    <w:rsid w:val="0051214D"/>
    <w:rsid w:val="005149B4"/>
    <w:rsid w:val="005302A2"/>
    <w:rsid w:val="00535C86"/>
    <w:rsid w:val="00536694"/>
    <w:rsid w:val="005576AE"/>
    <w:rsid w:val="00561728"/>
    <w:rsid w:val="00564103"/>
    <w:rsid w:val="005748E7"/>
    <w:rsid w:val="00591137"/>
    <w:rsid w:val="005A22D7"/>
    <w:rsid w:val="005C2919"/>
    <w:rsid w:val="005D4B22"/>
    <w:rsid w:val="005E6BFC"/>
    <w:rsid w:val="005F4273"/>
    <w:rsid w:val="006023BA"/>
    <w:rsid w:val="00615516"/>
    <w:rsid w:val="00625172"/>
    <w:rsid w:val="00627B6B"/>
    <w:rsid w:val="00642900"/>
    <w:rsid w:val="0068728B"/>
    <w:rsid w:val="006A3648"/>
    <w:rsid w:val="006B7299"/>
    <w:rsid w:val="006D6D6D"/>
    <w:rsid w:val="00776000"/>
    <w:rsid w:val="007B3344"/>
    <w:rsid w:val="007C5797"/>
    <w:rsid w:val="007C5CD6"/>
    <w:rsid w:val="007C5CDC"/>
    <w:rsid w:val="007D0DBB"/>
    <w:rsid w:val="007F5364"/>
    <w:rsid w:val="0080126B"/>
    <w:rsid w:val="00815DC1"/>
    <w:rsid w:val="00820B07"/>
    <w:rsid w:val="00821637"/>
    <w:rsid w:val="008302F8"/>
    <w:rsid w:val="0083047C"/>
    <w:rsid w:val="0083123C"/>
    <w:rsid w:val="008418EA"/>
    <w:rsid w:val="00895964"/>
    <w:rsid w:val="008A7AE9"/>
    <w:rsid w:val="008B3D63"/>
    <w:rsid w:val="008C3364"/>
    <w:rsid w:val="008C467A"/>
    <w:rsid w:val="008E455A"/>
    <w:rsid w:val="0090452C"/>
    <w:rsid w:val="00911621"/>
    <w:rsid w:val="009A409C"/>
    <w:rsid w:val="009A6413"/>
    <w:rsid w:val="009B4372"/>
    <w:rsid w:val="009C2030"/>
    <w:rsid w:val="009E51AD"/>
    <w:rsid w:val="009F4140"/>
    <w:rsid w:val="00A11AE5"/>
    <w:rsid w:val="00A247F9"/>
    <w:rsid w:val="00A3039D"/>
    <w:rsid w:val="00A37447"/>
    <w:rsid w:val="00A67983"/>
    <w:rsid w:val="00A71F4D"/>
    <w:rsid w:val="00AB41F1"/>
    <w:rsid w:val="00AD78FB"/>
    <w:rsid w:val="00AE0FFE"/>
    <w:rsid w:val="00AF689B"/>
    <w:rsid w:val="00B74144"/>
    <w:rsid w:val="00B776B9"/>
    <w:rsid w:val="00B949C3"/>
    <w:rsid w:val="00B94D5F"/>
    <w:rsid w:val="00BE13AA"/>
    <w:rsid w:val="00BE5112"/>
    <w:rsid w:val="00BF05C5"/>
    <w:rsid w:val="00C03609"/>
    <w:rsid w:val="00C03BC8"/>
    <w:rsid w:val="00C22179"/>
    <w:rsid w:val="00C33E27"/>
    <w:rsid w:val="00C37902"/>
    <w:rsid w:val="00C677C2"/>
    <w:rsid w:val="00CA7A3E"/>
    <w:rsid w:val="00D13D87"/>
    <w:rsid w:val="00D14D95"/>
    <w:rsid w:val="00D35B1E"/>
    <w:rsid w:val="00D544A4"/>
    <w:rsid w:val="00D77287"/>
    <w:rsid w:val="00DF051D"/>
    <w:rsid w:val="00E11237"/>
    <w:rsid w:val="00E17086"/>
    <w:rsid w:val="00E2732F"/>
    <w:rsid w:val="00E278D9"/>
    <w:rsid w:val="00E36FE5"/>
    <w:rsid w:val="00E638A9"/>
    <w:rsid w:val="00E80E28"/>
    <w:rsid w:val="00E843D0"/>
    <w:rsid w:val="00E87622"/>
    <w:rsid w:val="00E96356"/>
    <w:rsid w:val="00EA187F"/>
    <w:rsid w:val="00EB5713"/>
    <w:rsid w:val="00EC54C8"/>
    <w:rsid w:val="00F02E87"/>
    <w:rsid w:val="00F07D6B"/>
    <w:rsid w:val="00F16E89"/>
    <w:rsid w:val="00F36728"/>
    <w:rsid w:val="00F404CB"/>
    <w:rsid w:val="00F513F9"/>
    <w:rsid w:val="00F533F5"/>
    <w:rsid w:val="00F6147F"/>
    <w:rsid w:val="00F650D6"/>
    <w:rsid w:val="00F702C2"/>
    <w:rsid w:val="00F87E2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D4A0EF"/>
  <w15:docId w15:val="{BCAA14D0-A70B-498F-B8AC-7375984AD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link w:val="Ttulo1Car"/>
    <w:uiPriority w:val="9"/>
    <w:qFormat/>
    <w:rsid w:val="00B776B9"/>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3E2C9F"/>
    <w:pPr>
      <w:autoSpaceDE w:val="0"/>
      <w:autoSpaceDN w:val="0"/>
      <w:adjustRightInd w:val="0"/>
      <w:spacing w:after="0" w:line="240" w:lineRule="auto"/>
    </w:pPr>
    <w:rPr>
      <w:rFonts w:ascii="Arial" w:hAnsi="Arial" w:cs="Arial"/>
      <w:color w:val="000000"/>
      <w:sz w:val="24"/>
      <w:szCs w:val="24"/>
    </w:rPr>
  </w:style>
  <w:style w:type="table" w:styleId="Tablaconcuadrcula">
    <w:name w:val="Table Grid"/>
    <w:basedOn w:val="Tablanormal"/>
    <w:uiPriority w:val="39"/>
    <w:rsid w:val="003E2C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8C3364"/>
    <w:pPr>
      <w:ind w:left="720"/>
      <w:contextualSpacing/>
    </w:pPr>
  </w:style>
  <w:style w:type="character" w:styleId="Textoennegrita">
    <w:name w:val="Strong"/>
    <w:basedOn w:val="Fuentedeprrafopredeter"/>
    <w:uiPriority w:val="22"/>
    <w:qFormat/>
    <w:rsid w:val="00D77287"/>
    <w:rPr>
      <w:b/>
      <w:bCs/>
    </w:rPr>
  </w:style>
  <w:style w:type="character" w:styleId="Hipervnculo">
    <w:name w:val="Hyperlink"/>
    <w:basedOn w:val="Fuentedeprrafopredeter"/>
    <w:uiPriority w:val="99"/>
    <w:semiHidden/>
    <w:unhideWhenUsed/>
    <w:rsid w:val="00026F21"/>
    <w:rPr>
      <w:color w:val="0000FF"/>
      <w:u w:val="single"/>
    </w:rPr>
  </w:style>
  <w:style w:type="paragraph" w:styleId="Textodeglobo">
    <w:name w:val="Balloon Text"/>
    <w:basedOn w:val="Normal"/>
    <w:link w:val="TextodegloboCar"/>
    <w:uiPriority w:val="99"/>
    <w:semiHidden/>
    <w:unhideWhenUsed/>
    <w:rsid w:val="001A148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A1482"/>
    <w:rPr>
      <w:rFonts w:ascii="Tahoma" w:hAnsi="Tahoma" w:cs="Tahoma"/>
      <w:sz w:val="16"/>
      <w:szCs w:val="16"/>
    </w:rPr>
  </w:style>
  <w:style w:type="character" w:styleId="Refdecomentario">
    <w:name w:val="annotation reference"/>
    <w:basedOn w:val="Fuentedeprrafopredeter"/>
    <w:uiPriority w:val="99"/>
    <w:semiHidden/>
    <w:unhideWhenUsed/>
    <w:rsid w:val="001337DD"/>
    <w:rPr>
      <w:sz w:val="16"/>
      <w:szCs w:val="16"/>
    </w:rPr>
  </w:style>
  <w:style w:type="paragraph" w:styleId="Textocomentario">
    <w:name w:val="annotation text"/>
    <w:basedOn w:val="Normal"/>
    <w:link w:val="TextocomentarioCar"/>
    <w:uiPriority w:val="99"/>
    <w:semiHidden/>
    <w:unhideWhenUsed/>
    <w:rsid w:val="001337D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1337DD"/>
    <w:rPr>
      <w:sz w:val="20"/>
      <w:szCs w:val="20"/>
    </w:rPr>
  </w:style>
  <w:style w:type="paragraph" w:styleId="Asuntodelcomentario">
    <w:name w:val="annotation subject"/>
    <w:basedOn w:val="Textocomentario"/>
    <w:next w:val="Textocomentario"/>
    <w:link w:val="AsuntodelcomentarioCar"/>
    <w:uiPriority w:val="99"/>
    <w:semiHidden/>
    <w:unhideWhenUsed/>
    <w:rsid w:val="001337DD"/>
    <w:rPr>
      <w:b/>
      <w:bCs/>
    </w:rPr>
  </w:style>
  <w:style w:type="character" w:customStyle="1" w:styleId="AsuntodelcomentarioCar">
    <w:name w:val="Asunto del comentario Car"/>
    <w:basedOn w:val="TextocomentarioCar"/>
    <w:link w:val="Asuntodelcomentario"/>
    <w:uiPriority w:val="99"/>
    <w:semiHidden/>
    <w:rsid w:val="001337DD"/>
    <w:rPr>
      <w:b/>
      <w:bCs/>
      <w:sz w:val="20"/>
      <w:szCs w:val="20"/>
    </w:rPr>
  </w:style>
  <w:style w:type="character" w:customStyle="1" w:styleId="Ttulo1Car">
    <w:name w:val="Título 1 Car"/>
    <w:basedOn w:val="Fuentedeprrafopredeter"/>
    <w:link w:val="Ttulo1"/>
    <w:uiPriority w:val="9"/>
    <w:rsid w:val="00B776B9"/>
    <w:rPr>
      <w:rFonts w:ascii="Times New Roman" w:eastAsia="Times New Roman" w:hAnsi="Times New Roman" w:cs="Times New Roman"/>
      <w:b/>
      <w:bCs/>
      <w:kern w:val="36"/>
      <w:sz w:val="48"/>
      <w:szCs w:val="48"/>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711291">
      <w:bodyDiv w:val="1"/>
      <w:marLeft w:val="0"/>
      <w:marRight w:val="0"/>
      <w:marTop w:val="0"/>
      <w:marBottom w:val="0"/>
      <w:divBdr>
        <w:top w:val="none" w:sz="0" w:space="0" w:color="auto"/>
        <w:left w:val="none" w:sz="0" w:space="0" w:color="auto"/>
        <w:bottom w:val="none" w:sz="0" w:space="0" w:color="auto"/>
        <w:right w:val="none" w:sz="0" w:space="0" w:color="auto"/>
      </w:divBdr>
    </w:div>
    <w:div w:id="372997673">
      <w:bodyDiv w:val="1"/>
      <w:marLeft w:val="0"/>
      <w:marRight w:val="0"/>
      <w:marTop w:val="0"/>
      <w:marBottom w:val="0"/>
      <w:divBdr>
        <w:top w:val="none" w:sz="0" w:space="0" w:color="auto"/>
        <w:left w:val="none" w:sz="0" w:space="0" w:color="auto"/>
        <w:bottom w:val="none" w:sz="0" w:space="0" w:color="auto"/>
        <w:right w:val="none" w:sz="0" w:space="0" w:color="auto"/>
      </w:divBdr>
    </w:div>
    <w:div w:id="846404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ekonomiaren-garapena.jakina.ejgv.jaso/contenidos/informacion/ab83_documentos_documentos/es_def/images/gv/4_desarrollo_economico_horizontal_color.jpg" TargetMode="External"/><Relationship Id="rId13" Type="http://schemas.openxmlformats.org/officeDocument/2006/relationships/image" Target="media/image4.jpeg"/><Relationship Id="rId18" Type="http://schemas.openxmlformats.org/officeDocument/2006/relationships/chart" Target="charts/chart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tiff"/><Relationship Id="rId20" Type="http://schemas.openxmlformats.org/officeDocument/2006/relationships/image" Target="media/image8.tif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es.wikipedia.org/wiki/Bufo" TargetMode="External"/><Relationship Id="rId5" Type="http://schemas.openxmlformats.org/officeDocument/2006/relationships/styles" Target="styles.xml"/><Relationship Id="rId15" Type="http://schemas.openxmlformats.org/officeDocument/2006/relationships/chart" Target="charts/chart1.xml"/><Relationship Id="rId10" Type="http://schemas.openxmlformats.org/officeDocument/2006/relationships/image" Target="media/image2.jpeg"/><Relationship Id="rId19" Type="http://schemas.openxmlformats.org/officeDocument/2006/relationships/chart" Target="charts/chart3.xml"/><Relationship Id="rId4" Type="http://schemas.openxmlformats.org/officeDocument/2006/relationships/numbering" Target="numbering.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telesforo\igarin\GARIN-BARRIO\2017\Txinbadia\Datos_Superfici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telesforo\igarin\GARIN-BARRIO\S.C.Aranzadi\2017\DFB_Ecalamita\Datos\Puestas_Azkorri_2006-2015.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embeddings/oleObject1.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s-E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995227272727287"/>
          <c:y val="5.1400554097404488E-2"/>
          <c:w val="0.80430606060606058"/>
          <c:h val="0.8326195683872849"/>
        </c:manualLayout>
      </c:layout>
      <c:barChart>
        <c:barDir val="col"/>
        <c:grouping val="clustered"/>
        <c:varyColors val="1"/>
        <c:ser>
          <c:idx val="0"/>
          <c:order val="0"/>
          <c:tx>
            <c:strRef>
              <c:f>'SUPERFICIE '!$B$6</c:f>
              <c:strCache>
                <c:ptCount val="1"/>
                <c:pt idx="0">
                  <c:v>Superficie macroescala (UTM 1x1km)</c:v>
                </c:pt>
              </c:strCache>
            </c:strRef>
          </c:tx>
          <c:spPr>
            <a:solidFill>
              <a:srgbClr val="ED7D31"/>
            </a:solidFill>
            <a:ln>
              <a:noFill/>
            </a:ln>
            <a:effectLst/>
          </c:spPr>
          <c:invertIfNegative val="1"/>
          <c:dLbls>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solidFill>
                    <a:latin typeface="Arial" pitchFamily="34" charset="0"/>
                    <a:ea typeface="+mn-ea"/>
                    <a:cs typeface="Arial" pitchFamily="34" charset="0"/>
                  </a:defRPr>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6350" cap="flat" cmpd="sng" algn="ctr">
                      <a:solidFill>
                        <a:schemeClr val="tx1"/>
                      </a:solidFill>
                      <a:prstDash val="solid"/>
                      <a:round/>
                    </a:ln>
                    <a:effectLst/>
                  </c:spPr>
                </c15:leaderLines>
              </c:ext>
            </c:extLst>
          </c:dLbls>
          <c:cat>
            <c:strRef>
              <c:f>'SUPERFICIE '!$C$5:$D$5</c:f>
              <c:strCache>
                <c:ptCount val="2"/>
                <c:pt idx="0">
                  <c:v>2004-2010</c:v>
                </c:pt>
                <c:pt idx="1">
                  <c:v>2011-2017</c:v>
                </c:pt>
              </c:strCache>
            </c:strRef>
          </c:cat>
          <c:val>
            <c:numRef>
              <c:f>'SUPERFICIE '!$C$6:$D$6</c:f>
              <c:numCache>
                <c:formatCode>General</c:formatCode>
                <c:ptCount val="2"/>
                <c:pt idx="0">
                  <c:v>800</c:v>
                </c:pt>
                <c:pt idx="1">
                  <c:v>700</c:v>
                </c:pt>
              </c:numCache>
            </c:numRef>
          </c:val>
          <c:extLst>
            <c:ext xmlns:c14="http://schemas.microsoft.com/office/drawing/2007/8/2/chart" uri="{6F2FDCE9-48DA-4B69-8628-5D25D57E5C99}">
              <c14:invertSolidFillFmt>
                <c14:spPr xmlns:c14="http://schemas.microsoft.com/office/drawing/2007/8/2/chart">
                  <a:solidFill>
                    <a:srgbClr val="FFFFFF"/>
                  </a:solidFill>
                  <a:ln>
                    <a:noFill/>
                  </a:ln>
                  <a:effectLst/>
                </c14:spPr>
              </c14:invertSolidFillFmt>
            </c:ext>
            <c:ext xmlns:c16="http://schemas.microsoft.com/office/drawing/2014/chart" uri="{C3380CC4-5D6E-409C-BE32-E72D297353CC}">
              <c16:uniqueId val="{00000000-6F00-4ACB-80FE-919C5FF4829A}"/>
            </c:ext>
          </c:extLst>
        </c:ser>
        <c:ser>
          <c:idx val="1"/>
          <c:order val="1"/>
          <c:tx>
            <c:strRef>
              <c:f>'SUPERFICIE '!$B$7</c:f>
              <c:strCache>
                <c:ptCount val="1"/>
                <c:pt idx="0">
                  <c:v>Superficie microescala (núcleos poblacionales)</c:v>
                </c:pt>
              </c:strCache>
            </c:strRef>
          </c:tx>
          <c:spPr>
            <a:solidFill>
              <a:srgbClr val="FFC000"/>
            </a:solidFill>
            <a:ln>
              <a:noFill/>
            </a:ln>
            <a:effectLst/>
          </c:spPr>
          <c:invertIfNegative val="1"/>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solidFill>
                    <a:latin typeface="Arial" pitchFamily="34" charset="0"/>
                    <a:ea typeface="+mn-ea"/>
                    <a:cs typeface="Arial" pitchFamily="34" charset="0"/>
                  </a:defRPr>
                </a:pPr>
                <a:endParaRPr lang="es-E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6350" cap="flat" cmpd="sng" algn="ctr">
                      <a:solidFill>
                        <a:schemeClr val="tx1"/>
                      </a:solidFill>
                      <a:prstDash val="solid"/>
                      <a:round/>
                    </a:ln>
                    <a:effectLst/>
                  </c:spPr>
                </c15:leaderLines>
              </c:ext>
            </c:extLst>
          </c:dLbls>
          <c:cat>
            <c:strRef>
              <c:f>'SUPERFICIE '!$C$5:$D$5</c:f>
              <c:strCache>
                <c:ptCount val="2"/>
                <c:pt idx="0">
                  <c:v>2004-2010</c:v>
                </c:pt>
                <c:pt idx="1">
                  <c:v>2011-2017</c:v>
                </c:pt>
              </c:strCache>
            </c:strRef>
          </c:cat>
          <c:val>
            <c:numRef>
              <c:f>'SUPERFICIE '!$C$7:$D$7</c:f>
              <c:numCache>
                <c:formatCode>0.00</c:formatCode>
                <c:ptCount val="2"/>
                <c:pt idx="0">
                  <c:v>106.3192</c:v>
                </c:pt>
                <c:pt idx="1">
                  <c:v>97.544200000000004</c:v>
                </c:pt>
              </c:numCache>
            </c:numRef>
          </c:val>
          <c:extLst>
            <c:ext xmlns:c14="http://schemas.microsoft.com/office/drawing/2007/8/2/chart" uri="{6F2FDCE9-48DA-4B69-8628-5D25D57E5C99}">
              <c14:invertSolidFillFmt>
                <c14:spPr xmlns:c14="http://schemas.microsoft.com/office/drawing/2007/8/2/chart">
                  <a:solidFill>
                    <a:srgbClr val="FFFFFF"/>
                  </a:solidFill>
                  <a:ln>
                    <a:noFill/>
                  </a:ln>
                  <a:effectLst/>
                </c14:spPr>
              </c14:invertSolidFillFmt>
            </c:ext>
            <c:ext xmlns:c16="http://schemas.microsoft.com/office/drawing/2014/chart" uri="{C3380CC4-5D6E-409C-BE32-E72D297353CC}">
              <c16:uniqueId val="{00000001-6F00-4ACB-80FE-919C5FF4829A}"/>
            </c:ext>
          </c:extLst>
        </c:ser>
        <c:dLbls>
          <c:showLegendKey val="0"/>
          <c:showVal val="0"/>
          <c:showCatName val="0"/>
          <c:showSerName val="0"/>
          <c:showPercent val="0"/>
          <c:showBubbleSize val="0"/>
        </c:dLbls>
        <c:gapWidth val="150"/>
        <c:axId val="134545408"/>
        <c:axId val="166261824"/>
      </c:barChart>
      <c:catAx>
        <c:axId val="134545408"/>
        <c:scaling>
          <c:orientation val="minMax"/>
        </c:scaling>
        <c:delete val="1"/>
        <c:axPos val="b"/>
        <c:numFmt formatCode="General" sourceLinked="0"/>
        <c:majorTickMark val="cross"/>
        <c:minorTickMark val="cross"/>
        <c:tickLblPos val="nextTo"/>
        <c:crossAx val="166261824"/>
        <c:crosses val="autoZero"/>
        <c:auto val="1"/>
        <c:lblAlgn val="ctr"/>
        <c:lblOffset val="100"/>
        <c:noMultiLvlLbl val="1"/>
      </c:catAx>
      <c:valAx>
        <c:axId val="166261824"/>
        <c:scaling>
          <c:orientation val="minMax"/>
          <c:max val="1200"/>
        </c:scaling>
        <c:delete val="1"/>
        <c:axPos val="l"/>
        <c:title>
          <c:tx>
            <c:rich>
              <a:bodyPr rot="-5400000" spcFirstLastPara="1" vertOverflow="ellipsis" vert="horz" wrap="square" anchor="ctr" anchorCtr="1"/>
              <a:lstStyle/>
              <a:p>
                <a:pPr>
                  <a:defRPr sz="1100" b="1" i="0" u="none" strike="noStrike" kern="1200" baseline="0">
                    <a:solidFill>
                      <a:schemeClr val="tx1"/>
                    </a:solidFill>
                    <a:latin typeface="Arial" pitchFamily="34" charset="0"/>
                    <a:ea typeface="+mn-ea"/>
                    <a:cs typeface="Arial" pitchFamily="34" charset="0"/>
                  </a:defRPr>
                </a:pPr>
                <a:r>
                  <a:rPr lang="es-ES" sz="1200"/>
                  <a:t>SUPERFICIE (ha)</a:t>
                </a:r>
              </a:p>
            </c:rich>
          </c:tx>
          <c:layout>
            <c:manualLayout>
              <c:xMode val="edge"/>
              <c:yMode val="edge"/>
              <c:x val="1.2004040404040399E-2"/>
              <c:y val="0.30822737435598352"/>
            </c:manualLayout>
          </c:layout>
          <c:overlay val="1"/>
          <c:spPr>
            <a:noFill/>
            <a:ln>
              <a:noFill/>
            </a:ln>
            <a:effectLst/>
          </c:spPr>
        </c:title>
        <c:numFmt formatCode="General" sourceLinked="1"/>
        <c:majorTickMark val="cross"/>
        <c:minorTickMark val="cross"/>
        <c:tickLblPos val="nextTo"/>
        <c:crossAx val="134545408"/>
        <c:crosses val="autoZero"/>
        <c:crossBetween val="between"/>
        <c:majorUnit val="300"/>
      </c:valAx>
      <c:spPr>
        <a:solidFill>
          <a:schemeClr val="bg1"/>
        </a:solidFill>
        <a:ln>
          <a:noFill/>
        </a:ln>
        <a:effectLst/>
      </c:spPr>
    </c:plotArea>
    <c:legend>
      <c:legendPos val="r"/>
      <c:layout>
        <c:manualLayout>
          <c:xMode val="edge"/>
          <c:yMode val="edge"/>
          <c:x val="0.17825252525252525"/>
          <c:y val="5.3244629143579289E-2"/>
          <c:w val="0.7841179629629621"/>
          <c:h val="0.13028312433168077"/>
        </c:manualLayout>
      </c:layout>
      <c:overlay val="1"/>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Arial" pitchFamily="34" charset="0"/>
              <a:ea typeface="+mn-ea"/>
              <a:cs typeface="Arial" pitchFamily="34" charset="0"/>
            </a:defRPr>
          </a:pPr>
          <a:endParaRPr lang="es-ES"/>
        </a:p>
      </c:txPr>
    </c:legend>
    <c:plotVisOnly val="1"/>
    <c:dispBlanksAs val="zero"/>
    <c:showDLblsOverMax val="1"/>
  </c:chart>
  <c:spPr>
    <a:solidFill>
      <a:schemeClr val="bg1"/>
    </a:solidFill>
    <a:ln w="6350" cap="flat" cmpd="sng" algn="ctr">
      <a:solidFill>
        <a:schemeClr val="tx1">
          <a:tint val="75000"/>
        </a:schemeClr>
      </a:solidFill>
      <a:prstDash val="solid"/>
      <a:round/>
    </a:ln>
    <a:effectLst/>
  </c:spPr>
  <c:txPr>
    <a:bodyPr/>
    <a:lstStyle/>
    <a:p>
      <a:pPr>
        <a:defRPr sz="1100">
          <a:latin typeface="Arial" pitchFamily="34" charset="0"/>
          <a:cs typeface="Arial" pitchFamily="34" charset="0"/>
        </a:defRPr>
      </a:pPr>
      <a:endParaRPr lang="es-ES"/>
    </a:p>
  </c:txPr>
  <c:externalData r:id="rId1">
    <c:autoUpdate val="1"/>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108774494256523"/>
          <c:y val="0.21899822578043945"/>
          <c:w val="0.79513052111918581"/>
          <c:h val="0.66502177451283018"/>
        </c:manualLayout>
      </c:layout>
      <c:barChart>
        <c:barDir val="col"/>
        <c:grouping val="stacked"/>
        <c:varyColors val="0"/>
        <c:ser>
          <c:idx val="0"/>
          <c:order val="0"/>
          <c:tx>
            <c:strRef>
              <c:f>GENERAL!$A$2</c:f>
              <c:strCache>
                <c:ptCount val="1"/>
                <c:pt idx="0">
                  <c:v>ARENAL DE AZKORRI</c:v>
                </c:pt>
              </c:strCache>
            </c:strRef>
          </c:tx>
          <c:invertIfNegative val="0"/>
          <c:cat>
            <c:numRef>
              <c:f>GENERAL!$B$1:$N$1</c:f>
              <c:numCache>
                <c:formatCode>General</c:formatCod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numCache>
            </c:numRef>
          </c:cat>
          <c:val>
            <c:numRef>
              <c:f>GENERAL!$B$2:$N$2</c:f>
              <c:numCache>
                <c:formatCode>General</c:formatCode>
                <c:ptCount val="13"/>
                <c:pt idx="0">
                  <c:v>0</c:v>
                </c:pt>
                <c:pt idx="1">
                  <c:v>1</c:v>
                </c:pt>
                <c:pt idx="2">
                  <c:v>5</c:v>
                </c:pt>
                <c:pt idx="3">
                  <c:v>30</c:v>
                </c:pt>
                <c:pt idx="4">
                  <c:v>51</c:v>
                </c:pt>
                <c:pt idx="5">
                  <c:v>99</c:v>
                </c:pt>
                <c:pt idx="6">
                  <c:v>58</c:v>
                </c:pt>
                <c:pt idx="7">
                  <c:v>77</c:v>
                </c:pt>
                <c:pt idx="8">
                  <c:v>51</c:v>
                </c:pt>
                <c:pt idx="9">
                  <c:v>11</c:v>
                </c:pt>
                <c:pt idx="10">
                  <c:v>14</c:v>
                </c:pt>
                <c:pt idx="11">
                  <c:v>5</c:v>
                </c:pt>
                <c:pt idx="12">
                  <c:v>0</c:v>
                </c:pt>
              </c:numCache>
            </c:numRef>
          </c:val>
          <c:extLst>
            <c:ext xmlns:c16="http://schemas.microsoft.com/office/drawing/2014/chart" uri="{C3380CC4-5D6E-409C-BE32-E72D297353CC}">
              <c16:uniqueId val="{00000000-A0C3-408E-BBBF-D8FA303AF37F}"/>
            </c:ext>
          </c:extLst>
        </c:ser>
        <c:ser>
          <c:idx val="1"/>
          <c:order val="1"/>
          <c:tx>
            <c:strRef>
              <c:f>GENERAL!$A$3</c:f>
              <c:strCache>
                <c:ptCount val="1"/>
                <c:pt idx="0">
                  <c:v>ZONA EXTERIOR</c:v>
                </c:pt>
              </c:strCache>
            </c:strRef>
          </c:tx>
          <c:invertIfNegative val="0"/>
          <c:cat>
            <c:numRef>
              <c:f>GENERAL!$B$1:$N$1</c:f>
              <c:numCache>
                <c:formatCode>General</c:formatCod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numCache>
            </c:numRef>
          </c:cat>
          <c:val>
            <c:numRef>
              <c:f>GENERAL!$B$3:$N$3</c:f>
              <c:numCache>
                <c:formatCode>General</c:formatCode>
                <c:ptCount val="13"/>
                <c:pt idx="0">
                  <c:v>0</c:v>
                </c:pt>
                <c:pt idx="1">
                  <c:v>0</c:v>
                </c:pt>
                <c:pt idx="2">
                  <c:v>0</c:v>
                </c:pt>
                <c:pt idx="3">
                  <c:v>0</c:v>
                </c:pt>
                <c:pt idx="4">
                  <c:v>0</c:v>
                </c:pt>
                <c:pt idx="5">
                  <c:v>0</c:v>
                </c:pt>
                <c:pt idx="6">
                  <c:v>0</c:v>
                </c:pt>
                <c:pt idx="7">
                  <c:v>3</c:v>
                </c:pt>
                <c:pt idx="8">
                  <c:v>2</c:v>
                </c:pt>
                <c:pt idx="9">
                  <c:v>0</c:v>
                </c:pt>
                <c:pt idx="10">
                  <c:v>0</c:v>
                </c:pt>
                <c:pt idx="11">
                  <c:v>0</c:v>
                </c:pt>
                <c:pt idx="12">
                  <c:v>0</c:v>
                </c:pt>
              </c:numCache>
            </c:numRef>
          </c:val>
          <c:extLst>
            <c:ext xmlns:c16="http://schemas.microsoft.com/office/drawing/2014/chart" uri="{C3380CC4-5D6E-409C-BE32-E72D297353CC}">
              <c16:uniqueId val="{00000001-A0C3-408E-BBBF-D8FA303AF37F}"/>
            </c:ext>
          </c:extLst>
        </c:ser>
        <c:dLbls>
          <c:showLegendKey val="0"/>
          <c:showVal val="0"/>
          <c:showCatName val="0"/>
          <c:showSerName val="0"/>
          <c:showPercent val="0"/>
          <c:showBubbleSize val="0"/>
        </c:dLbls>
        <c:gapWidth val="150"/>
        <c:overlap val="100"/>
        <c:axId val="134546432"/>
        <c:axId val="166215680"/>
      </c:barChart>
      <c:catAx>
        <c:axId val="134546432"/>
        <c:scaling>
          <c:orientation val="minMax"/>
        </c:scaling>
        <c:delete val="0"/>
        <c:axPos val="b"/>
        <c:numFmt formatCode="General" sourceLinked="1"/>
        <c:majorTickMark val="out"/>
        <c:minorTickMark val="none"/>
        <c:tickLblPos val="nextTo"/>
        <c:txPr>
          <a:bodyPr/>
          <a:lstStyle/>
          <a:p>
            <a:pPr>
              <a:defRPr sz="700" b="1">
                <a:latin typeface="Arial" pitchFamily="34" charset="0"/>
                <a:cs typeface="Arial" pitchFamily="34" charset="0"/>
              </a:defRPr>
            </a:pPr>
            <a:endParaRPr lang="es-ES"/>
          </a:p>
        </c:txPr>
        <c:crossAx val="166215680"/>
        <c:crosses val="autoZero"/>
        <c:auto val="1"/>
        <c:lblAlgn val="ctr"/>
        <c:lblOffset val="100"/>
        <c:noMultiLvlLbl val="0"/>
      </c:catAx>
      <c:valAx>
        <c:axId val="166215680"/>
        <c:scaling>
          <c:orientation val="minMax"/>
          <c:max val="120"/>
        </c:scaling>
        <c:delete val="0"/>
        <c:axPos val="l"/>
        <c:majorGridlines>
          <c:spPr>
            <a:ln>
              <a:prstDash val="sysDot"/>
            </a:ln>
          </c:spPr>
        </c:majorGridlines>
        <c:title>
          <c:tx>
            <c:rich>
              <a:bodyPr rot="-5400000" vert="horz"/>
              <a:lstStyle/>
              <a:p>
                <a:pPr>
                  <a:defRPr sz="1100" b="1">
                    <a:latin typeface="Arial" pitchFamily="34" charset="0"/>
                    <a:cs typeface="Arial" pitchFamily="34" charset="0"/>
                  </a:defRPr>
                </a:pPr>
                <a:r>
                  <a:rPr lang="es-ES" sz="1100" b="1">
                    <a:latin typeface="Arial" pitchFamily="34" charset="0"/>
                    <a:cs typeface="Arial" pitchFamily="34" charset="0"/>
                  </a:rPr>
                  <a:t>Nº DE PUESTAS</a:t>
                </a:r>
              </a:p>
            </c:rich>
          </c:tx>
          <c:layout>
            <c:manualLayout>
              <c:xMode val="edge"/>
              <c:yMode val="edge"/>
              <c:x val="4.5430925925926124E-2"/>
              <c:y val="0.36144400944295463"/>
            </c:manualLayout>
          </c:layout>
          <c:overlay val="0"/>
        </c:title>
        <c:numFmt formatCode="General" sourceLinked="1"/>
        <c:majorTickMark val="out"/>
        <c:minorTickMark val="none"/>
        <c:tickLblPos val="nextTo"/>
        <c:txPr>
          <a:bodyPr/>
          <a:lstStyle/>
          <a:p>
            <a:pPr>
              <a:defRPr sz="800" b="1">
                <a:latin typeface="Arial" pitchFamily="34" charset="0"/>
                <a:cs typeface="Arial" pitchFamily="34" charset="0"/>
              </a:defRPr>
            </a:pPr>
            <a:endParaRPr lang="es-ES"/>
          </a:p>
        </c:txPr>
        <c:crossAx val="134546432"/>
        <c:crosses val="autoZero"/>
        <c:crossBetween val="between"/>
        <c:majorUnit val="40"/>
      </c:valAx>
    </c:plotArea>
    <c:legend>
      <c:legendPos val="r"/>
      <c:layout>
        <c:manualLayout>
          <c:xMode val="edge"/>
          <c:yMode val="edge"/>
          <c:x val="0.15745166666666671"/>
          <c:y val="5.5171697287839022E-2"/>
          <c:w val="0.80051685185185029"/>
          <c:h val="0.11650845727617402"/>
        </c:manualLayout>
      </c:layout>
      <c:overlay val="0"/>
      <c:spPr>
        <a:solidFill>
          <a:schemeClr val="bg1">
            <a:lumMod val="95000"/>
          </a:schemeClr>
        </a:solidFill>
      </c:spPr>
      <c:txPr>
        <a:bodyPr/>
        <a:lstStyle/>
        <a:p>
          <a:pPr>
            <a:defRPr sz="1050" b="1">
              <a:latin typeface="Arial" pitchFamily="34" charset="0"/>
              <a:cs typeface="Arial" pitchFamily="34" charset="0"/>
            </a:defRPr>
          </a:pPr>
          <a:endParaRPr lang="es-ES"/>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NMM!$C$2</c:f>
              <c:strCache>
                <c:ptCount val="1"/>
                <c:pt idx="0">
                  <c:v>NMM</c:v>
                </c:pt>
              </c:strCache>
            </c:strRef>
          </c:tx>
          <c:invertIfNegative val="0"/>
          <c:cat>
            <c:numRef>
              <c:f>NMM!$B$3:$B$15</c:f>
              <c:numCache>
                <c:formatCode>General</c:formatCod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numCache>
            </c:numRef>
          </c:cat>
          <c:val>
            <c:numRef>
              <c:f>NMM!$C$3:$C$15</c:f>
              <c:numCache>
                <c:formatCode>General</c:formatCode>
                <c:ptCount val="13"/>
                <c:pt idx="0">
                  <c:v>5</c:v>
                </c:pt>
                <c:pt idx="1">
                  <c:v>2</c:v>
                </c:pt>
                <c:pt idx="2">
                  <c:v>10</c:v>
                </c:pt>
                <c:pt idx="3">
                  <c:v>26</c:v>
                </c:pt>
                <c:pt idx="4">
                  <c:v>56</c:v>
                </c:pt>
                <c:pt idx="5">
                  <c:v>94</c:v>
                </c:pt>
                <c:pt idx="6">
                  <c:v>94</c:v>
                </c:pt>
                <c:pt idx="7">
                  <c:v>69</c:v>
                </c:pt>
                <c:pt idx="8">
                  <c:v>51</c:v>
                </c:pt>
                <c:pt idx="9">
                  <c:v>20</c:v>
                </c:pt>
                <c:pt idx="10">
                  <c:v>25</c:v>
                </c:pt>
                <c:pt idx="11">
                  <c:v>14</c:v>
                </c:pt>
                <c:pt idx="12">
                  <c:v>4</c:v>
                </c:pt>
              </c:numCache>
            </c:numRef>
          </c:val>
          <c:extLst>
            <c:ext xmlns:c16="http://schemas.microsoft.com/office/drawing/2014/chart" uri="{C3380CC4-5D6E-409C-BE32-E72D297353CC}">
              <c16:uniqueId val="{00000000-3F4B-40DA-8BD0-B1806CB021A9}"/>
            </c:ext>
          </c:extLst>
        </c:ser>
        <c:dLbls>
          <c:showLegendKey val="0"/>
          <c:showVal val="0"/>
          <c:showCatName val="0"/>
          <c:showSerName val="0"/>
          <c:showPercent val="0"/>
          <c:showBubbleSize val="0"/>
        </c:dLbls>
        <c:gapWidth val="150"/>
        <c:axId val="134550528"/>
        <c:axId val="135039232"/>
      </c:barChart>
      <c:catAx>
        <c:axId val="134550528"/>
        <c:scaling>
          <c:orientation val="minMax"/>
        </c:scaling>
        <c:delete val="0"/>
        <c:axPos val="b"/>
        <c:numFmt formatCode="General" sourceLinked="1"/>
        <c:majorTickMark val="out"/>
        <c:minorTickMark val="none"/>
        <c:tickLblPos val="nextTo"/>
        <c:txPr>
          <a:bodyPr/>
          <a:lstStyle/>
          <a:p>
            <a:pPr>
              <a:defRPr b="1"/>
            </a:pPr>
            <a:endParaRPr lang="es-ES"/>
          </a:p>
        </c:txPr>
        <c:crossAx val="135039232"/>
        <c:crosses val="autoZero"/>
        <c:auto val="1"/>
        <c:lblAlgn val="ctr"/>
        <c:lblOffset val="100"/>
        <c:noMultiLvlLbl val="0"/>
      </c:catAx>
      <c:valAx>
        <c:axId val="135039232"/>
        <c:scaling>
          <c:orientation val="minMax"/>
        </c:scaling>
        <c:delete val="0"/>
        <c:axPos val="l"/>
        <c:title>
          <c:tx>
            <c:rich>
              <a:bodyPr rot="-5400000" vert="horz"/>
              <a:lstStyle/>
              <a:p>
                <a:pPr>
                  <a:defRPr sz="1100"/>
                </a:pPr>
                <a:r>
                  <a:rPr lang="es-ES" sz="1100"/>
                  <a:t>Número Máximo de Machos en GN1</a:t>
                </a:r>
              </a:p>
            </c:rich>
          </c:tx>
          <c:overlay val="0"/>
        </c:title>
        <c:numFmt formatCode="General" sourceLinked="1"/>
        <c:majorTickMark val="out"/>
        <c:minorTickMark val="none"/>
        <c:tickLblPos val="nextTo"/>
        <c:txPr>
          <a:bodyPr/>
          <a:lstStyle/>
          <a:p>
            <a:pPr>
              <a:defRPr b="1"/>
            </a:pPr>
            <a:endParaRPr lang="es-ES"/>
          </a:p>
        </c:txPr>
        <c:crossAx val="134550528"/>
        <c:crosses val="autoZero"/>
        <c:crossBetween val="between"/>
      </c:valAx>
    </c:plotArea>
    <c:plotVisOnly val="1"/>
    <c:dispBlanksAs val="gap"/>
    <c:showDLblsOverMax val="0"/>
  </c:chart>
  <c:txPr>
    <a:bodyPr/>
    <a:lstStyle/>
    <a:p>
      <a:pPr>
        <a:defRPr>
          <a:latin typeface="Arial" pitchFamily="34" charset="0"/>
          <a:cs typeface="Arial" pitchFamily="34" charset="0"/>
        </a:defRPr>
      </a:pPr>
      <a:endParaRPr lang="es-ES"/>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BE42CE3B01C794458EC46233D514BD01" ma:contentTypeVersion="11" ma:contentTypeDescription="Crear nuevo documento." ma:contentTypeScope="" ma:versionID="36bed9b3dbed49d2bd9d29945c98bc19">
  <xsd:schema xmlns:xsd="http://www.w3.org/2001/XMLSchema" xmlns:xs="http://www.w3.org/2001/XMLSchema" xmlns:p="http://schemas.microsoft.com/office/2006/metadata/properties" xmlns:ns2="77d3f2b1-f841-41a7-a4a6-6f7751f4f541" xmlns:ns3="904b01e8-fb1d-497b-98a3-0a38975a92af" targetNamespace="http://schemas.microsoft.com/office/2006/metadata/properties" ma:root="true" ma:fieldsID="3e00faf0446ba1fdb80f5044169da7bb" ns2:_="" ns3:_="">
    <xsd:import namespace="77d3f2b1-f841-41a7-a4a6-6f7751f4f541"/>
    <xsd:import namespace="904b01e8-fb1d-497b-98a3-0a38975a92a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d3f2b1-f841-41a7-a4a6-6f7751f4f5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04b01e8-fb1d-497b-98a3-0a38975a92af"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64156DE-050F-4840-B028-8C4D50055E0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75BEAF3-D990-4167-884F-C55A611110FA}">
  <ds:schemaRefs>
    <ds:schemaRef ds:uri="http://schemas.microsoft.com/sharepoint/v3/contenttype/forms"/>
  </ds:schemaRefs>
</ds:datastoreItem>
</file>

<file path=customXml/itemProps3.xml><?xml version="1.0" encoding="utf-8"?>
<ds:datastoreItem xmlns:ds="http://schemas.openxmlformats.org/officeDocument/2006/customXml" ds:itemID="{5FBE30D7-2F25-48BB-BC5E-BCE9BB404AC9}"/>
</file>

<file path=docProps/app.xml><?xml version="1.0" encoding="utf-8"?>
<Properties xmlns="http://schemas.openxmlformats.org/officeDocument/2006/extended-properties" xmlns:vt="http://schemas.openxmlformats.org/officeDocument/2006/docPropsVTypes">
  <Template>Normal.dotm</Template>
  <TotalTime>0</TotalTime>
  <Pages>22</Pages>
  <Words>5096</Words>
  <Characters>28028</Characters>
  <Application>Microsoft Office Word</Application>
  <DocSecurity>0</DocSecurity>
  <Lines>233</Lines>
  <Paragraphs>66</Paragraphs>
  <ScaleCrop>false</ScaleCrop>
  <HeadingPairs>
    <vt:vector size="4" baseType="variant">
      <vt:variant>
        <vt:lpstr>Título</vt:lpstr>
      </vt:variant>
      <vt:variant>
        <vt:i4>1</vt:i4>
      </vt:variant>
      <vt:variant>
        <vt:lpstr>Titulua</vt:lpstr>
      </vt:variant>
      <vt:variant>
        <vt:i4>1</vt:i4>
      </vt:variant>
    </vt:vector>
  </HeadingPairs>
  <TitlesOfParts>
    <vt:vector size="2" baseType="lpstr">
      <vt:lpstr/>
      <vt:lpstr/>
    </vt:vector>
  </TitlesOfParts>
  <Company/>
  <LinksUpToDate>false</LinksUpToDate>
  <CharactersWithSpaces>33058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Ion Garin</dc:creator>
  <cp:lastModifiedBy>Rozas Ormazabal, Marta</cp:lastModifiedBy>
  <cp:revision>2</cp:revision>
  <cp:lastPrinted>2019-05-16T10:50:00Z</cp:lastPrinted>
  <dcterms:created xsi:type="dcterms:W3CDTF">2021-06-17T08:22:00Z</dcterms:created>
  <dcterms:modified xsi:type="dcterms:W3CDTF">2021-06-17T08:22:00Z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0x010100BE42CE3B01C794458EC46233D514BD01</vt:lpwstr>
  </property>
</Properties>
</file>